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5AE15" w14:textId="1F6841B7" w:rsidR="00AA6CEE" w:rsidRPr="00AA6CEE" w:rsidRDefault="00AA6CEE" w:rsidP="00AA6CEE">
      <w:pPr>
        <w:pStyle w:val="TDocHeader"/>
      </w:pPr>
      <w:r w:rsidRPr="00AA6CEE">
        <w:t>3GPP TSG-RAN</w:t>
      </w:r>
      <w:r w:rsidRPr="00AA6CEE">
        <w:rPr>
          <w:rFonts w:hint="eastAsia"/>
        </w:rPr>
        <w:t xml:space="preserve"> WG2 </w:t>
      </w:r>
      <w:r w:rsidRPr="00AA6CEE">
        <w:t>#</w:t>
      </w:r>
      <w:r w:rsidR="00A04912">
        <w:t>115-e</w:t>
      </w:r>
      <w:r w:rsidRPr="00AA6CEE">
        <w:tab/>
      </w:r>
      <w:r w:rsidR="002862AA" w:rsidRPr="002862AA">
        <w:t>R2-2107390</w:t>
      </w:r>
    </w:p>
    <w:p w14:paraId="3F244641" w14:textId="77777777" w:rsidR="00AA6CEE" w:rsidRDefault="00A04912" w:rsidP="00AA6CEE">
      <w:pPr>
        <w:pStyle w:val="TDocHeader"/>
        <w:rPr>
          <w:lang w:val="en-US"/>
        </w:rPr>
      </w:pPr>
      <w:r>
        <w:rPr>
          <w:lang w:val="en-US"/>
        </w:rPr>
        <w:t>Electronic Meeting, 9</w:t>
      </w:r>
      <w:r w:rsidR="00AA6CEE" w:rsidRPr="00AA6CEE">
        <w:rPr>
          <w:lang w:val="en-US"/>
        </w:rPr>
        <w:t>–</w:t>
      </w:r>
      <w:r>
        <w:rPr>
          <w:lang w:val="en-US"/>
        </w:rPr>
        <w:t>27 Aug</w:t>
      </w:r>
      <w:r w:rsidR="00AA6CEE" w:rsidRPr="00AA6CEE">
        <w:rPr>
          <w:lang w:val="en-US"/>
        </w:rPr>
        <w:t xml:space="preserve"> 20</w:t>
      </w:r>
      <w:r w:rsidR="00AA6CEE">
        <w:rPr>
          <w:lang w:val="en-US"/>
        </w:rPr>
        <w:t>21</w:t>
      </w:r>
    </w:p>
    <w:p w14:paraId="6DA7F15E" w14:textId="77777777" w:rsidR="00B97703" w:rsidRDefault="00B97703">
      <w:pPr>
        <w:rPr>
          <w:rFonts w:ascii="Arial" w:hAnsi="Arial" w:cs="Arial"/>
        </w:rPr>
      </w:pPr>
    </w:p>
    <w:p w14:paraId="5EE3A778" w14:textId="77777777" w:rsidR="005E200D" w:rsidRPr="004E3939" w:rsidRDefault="00594C1F" w:rsidP="005E200D">
      <w:pPr>
        <w:pStyle w:val="Metadata"/>
      </w:pPr>
      <w:r>
        <w:t>Agenda Item:</w:t>
      </w:r>
      <w:r>
        <w:tab/>
        <w:t>8.21.2.1 – RAN2-initiated TEI17 proposals, CP centric</w:t>
      </w:r>
    </w:p>
    <w:p w14:paraId="5E9C9E67" w14:textId="77777777" w:rsidR="00B97703" w:rsidRPr="004E3939" w:rsidRDefault="004E3939" w:rsidP="00AA6CEE">
      <w:pPr>
        <w:pStyle w:val="Metadata"/>
      </w:pPr>
      <w:r w:rsidRPr="00DA53A0">
        <w:t>Source:</w:t>
      </w:r>
      <w:r w:rsidRPr="00DA53A0">
        <w:tab/>
      </w:r>
      <w:r w:rsidR="00AA6CEE">
        <w:t>NTT DOCOMO, INC.</w:t>
      </w:r>
    </w:p>
    <w:p w14:paraId="3975C044" w14:textId="77777777" w:rsidR="003542BF" w:rsidRDefault="00AA6CEE" w:rsidP="003542BF">
      <w:pPr>
        <w:pStyle w:val="Metadata"/>
        <w:rPr>
          <w:lang w:eastAsia="ja-JP"/>
        </w:rPr>
      </w:pPr>
      <w:r>
        <w:t>Title:</w:t>
      </w:r>
      <w:r>
        <w:tab/>
      </w:r>
      <w:r w:rsidR="00741E03">
        <w:t xml:space="preserve">UE </w:t>
      </w:r>
      <w:r w:rsidR="001E13DE">
        <w:t>Capability f</w:t>
      </w:r>
      <w:r w:rsidR="005E200D">
        <w:t xml:space="preserve">iltering </w:t>
      </w:r>
      <w:r w:rsidR="001E13DE">
        <w:t>s</w:t>
      </w:r>
      <w:r w:rsidR="009B18E5">
        <w:t xml:space="preserve">olution </w:t>
      </w:r>
      <w:r w:rsidR="005E200D">
        <w:t xml:space="preserve">for EN-DC BC </w:t>
      </w:r>
      <w:r w:rsidR="001E13DE">
        <w:t>s</w:t>
      </w:r>
      <w:r w:rsidR="005E200D">
        <w:t xml:space="preserve">election </w:t>
      </w:r>
      <w:r w:rsidR="001E13DE">
        <w:t>i</w:t>
      </w:r>
      <w:r w:rsidR="005E200D">
        <w:t>ssue</w:t>
      </w:r>
    </w:p>
    <w:p w14:paraId="755DCB4A" w14:textId="06E352A6" w:rsidR="00AA6CEE" w:rsidRDefault="00AB4BF9" w:rsidP="00AA6CEE">
      <w:pPr>
        <w:pStyle w:val="Metadata"/>
      </w:pPr>
      <w:r>
        <w:t>Document for:</w:t>
      </w:r>
      <w:r>
        <w:tab/>
        <w:t>Discussion and d</w:t>
      </w:r>
      <w:r w:rsidR="00AA6CEE">
        <w:t>ecision</w:t>
      </w:r>
    </w:p>
    <w:p w14:paraId="2A4CC6E0" w14:textId="77777777" w:rsidR="00B97703" w:rsidRDefault="00B97703">
      <w:pPr>
        <w:rPr>
          <w:rFonts w:ascii="Arial" w:hAnsi="Arial" w:cs="Arial"/>
        </w:rPr>
      </w:pPr>
    </w:p>
    <w:p w14:paraId="5E7655EA" w14:textId="77777777" w:rsidR="00B97703" w:rsidRDefault="00284052" w:rsidP="00E82B46">
      <w:pPr>
        <w:pStyle w:val="1"/>
      </w:pPr>
      <w:r>
        <w:rPr>
          <w:rFonts w:hint="eastAsia"/>
        </w:rPr>
        <w:t>I</w:t>
      </w:r>
      <w:r>
        <w:t>ntroduction</w:t>
      </w:r>
    </w:p>
    <w:p w14:paraId="7CCAEA57" w14:textId="77777777" w:rsidR="003542BF" w:rsidRDefault="005E200D" w:rsidP="00595D14">
      <w:pPr>
        <w:rPr>
          <w:lang w:eastAsia="ja-JP"/>
        </w:rPr>
      </w:pPr>
      <w:r>
        <w:rPr>
          <w:rFonts w:hint="eastAsia"/>
          <w:lang w:eastAsia="ja-JP"/>
        </w:rPr>
        <w:t>I</w:t>
      </w:r>
      <w:r>
        <w:rPr>
          <w:lang w:eastAsia="ja-JP"/>
        </w:rPr>
        <w:t>n realistic deployments, there is a possibility that EN-DC configuration fails due to the band combination selection process between eNB and gNB, if gNB supports only certain value of bandwidth (e.g. 100MHz).</w:t>
      </w:r>
      <w:r>
        <w:rPr>
          <w:rFonts w:hint="eastAsia"/>
          <w:lang w:eastAsia="ja-JP"/>
        </w:rPr>
        <w:t xml:space="preserve"> </w:t>
      </w:r>
      <w:r>
        <w:rPr>
          <w:lang w:eastAsia="ja-JP"/>
        </w:rPr>
        <w:t>This issue was discussed in R2-2100772</w:t>
      </w:r>
      <w:sdt>
        <w:sdtPr>
          <w:rPr>
            <w:lang w:eastAsia="ja-JP"/>
          </w:rPr>
          <w:id w:val="-166026320"/>
          <w:citation/>
        </w:sdtPr>
        <w:sdtEndPr/>
        <w:sdtContent>
          <w:r>
            <w:rPr>
              <w:lang w:eastAsia="ja-JP"/>
            </w:rPr>
            <w:fldChar w:fldCharType="begin"/>
          </w:r>
          <w:r>
            <w:rPr>
              <w:lang w:eastAsia="ja-JP"/>
            </w:rPr>
            <w:instrText xml:space="preserve"> </w:instrText>
          </w:r>
          <w:r>
            <w:rPr>
              <w:rFonts w:hint="eastAsia"/>
              <w:lang w:eastAsia="ja-JP"/>
            </w:rPr>
            <w:instrText>CITATION 1 \l 1041</w:instrText>
          </w:r>
          <w:r>
            <w:rPr>
              <w:lang w:eastAsia="ja-JP"/>
            </w:rPr>
            <w:instrText xml:space="preserve"> </w:instrText>
          </w:r>
          <w:r>
            <w:rPr>
              <w:lang w:eastAsia="ja-JP"/>
            </w:rPr>
            <w:fldChar w:fldCharType="separate"/>
          </w:r>
          <w:r w:rsidR="000A41C1">
            <w:rPr>
              <w:rFonts w:hint="eastAsia"/>
              <w:noProof/>
              <w:lang w:eastAsia="ja-JP"/>
            </w:rPr>
            <w:t xml:space="preserve"> [1]</w:t>
          </w:r>
          <w:r>
            <w:rPr>
              <w:lang w:eastAsia="ja-JP"/>
            </w:rPr>
            <w:fldChar w:fldCharType="end"/>
          </w:r>
        </w:sdtContent>
      </w:sdt>
      <w:r>
        <w:rPr>
          <w:lang w:eastAsia="ja-JP"/>
        </w:rPr>
        <w:t xml:space="preserve"> and a potential </w:t>
      </w:r>
      <w:r w:rsidR="00005B04">
        <w:rPr>
          <w:lang w:eastAsia="ja-JP"/>
        </w:rPr>
        <w:t>solution</w:t>
      </w:r>
      <w:r>
        <w:rPr>
          <w:lang w:eastAsia="ja-JP"/>
        </w:rPr>
        <w:t xml:space="preserve"> fo</w:t>
      </w:r>
      <w:bookmarkStart w:id="0" w:name="_GoBack"/>
      <w:bookmarkEnd w:id="0"/>
      <w:r>
        <w:rPr>
          <w:lang w:eastAsia="ja-JP"/>
        </w:rPr>
        <w:t>r the issue based on eNB implementation was captured in the chair notes.</w:t>
      </w:r>
    </w:p>
    <w:p w14:paraId="0F8D00DF" w14:textId="77777777" w:rsidR="00595D14" w:rsidRDefault="00005B04" w:rsidP="003542BF">
      <w:pPr>
        <w:rPr>
          <w:lang w:eastAsia="ja-JP"/>
        </w:rPr>
      </w:pPr>
      <w:r>
        <w:rPr>
          <w:lang w:eastAsia="ja-JP"/>
        </w:rPr>
        <w:t>T</w:t>
      </w:r>
      <w:r w:rsidR="00437F50">
        <w:rPr>
          <w:lang w:eastAsia="ja-JP"/>
        </w:rPr>
        <w:t xml:space="preserve">he </w:t>
      </w:r>
      <w:r>
        <w:rPr>
          <w:lang w:eastAsia="ja-JP"/>
        </w:rPr>
        <w:t xml:space="preserve">above solution relies on a certain condition on signalled UE capability, which is not ensured by the specifications. </w:t>
      </w:r>
      <w:r w:rsidR="003542BF">
        <w:rPr>
          <w:rFonts w:hint="eastAsia"/>
          <w:lang w:eastAsia="ja-JP"/>
        </w:rPr>
        <w:t>T</w:t>
      </w:r>
      <w:r w:rsidR="00437F50">
        <w:rPr>
          <w:lang w:eastAsia="ja-JP"/>
        </w:rPr>
        <w:t xml:space="preserve">his </w:t>
      </w:r>
      <w:r w:rsidR="00696599">
        <w:rPr>
          <w:lang w:eastAsia="ja-JP"/>
        </w:rPr>
        <w:t>contribution</w:t>
      </w:r>
      <w:r w:rsidR="00437F50">
        <w:rPr>
          <w:lang w:eastAsia="ja-JP"/>
        </w:rPr>
        <w:t xml:space="preserve"> </w:t>
      </w:r>
      <w:r>
        <w:rPr>
          <w:lang w:eastAsia="ja-JP"/>
        </w:rPr>
        <w:t xml:space="preserve">describes the remaining issue that comes from the above condition, and </w:t>
      </w:r>
      <w:r w:rsidR="005E200D">
        <w:rPr>
          <w:lang w:eastAsia="ja-JP"/>
        </w:rPr>
        <w:t>proposes a solution based on UE capability filtering.</w:t>
      </w:r>
    </w:p>
    <w:p w14:paraId="2F6728D4" w14:textId="77777777" w:rsidR="00B97703" w:rsidRDefault="00EA2761" w:rsidP="00E82B46">
      <w:pPr>
        <w:pStyle w:val="1"/>
      </w:pPr>
      <w:r>
        <w:t>Discussion</w:t>
      </w:r>
    </w:p>
    <w:p w14:paraId="2396213D" w14:textId="77777777" w:rsidR="00401252" w:rsidRDefault="005E200D" w:rsidP="005E200D">
      <w:pPr>
        <w:pStyle w:val="2"/>
      </w:pPr>
      <w:r>
        <w:rPr>
          <w:rFonts w:hint="eastAsia"/>
        </w:rPr>
        <w:t>R</w:t>
      </w:r>
      <w:r>
        <w:t>evisiting the EN-DC Setup Failure Issue</w:t>
      </w:r>
    </w:p>
    <w:p w14:paraId="5185DAEE" w14:textId="77777777" w:rsidR="005E200D" w:rsidRDefault="005E200D" w:rsidP="00401252">
      <w:pPr>
        <w:rPr>
          <w:lang w:eastAsia="ja-JP"/>
        </w:rPr>
      </w:pPr>
      <w:r>
        <w:rPr>
          <w:rFonts w:hint="eastAsia"/>
          <w:lang w:eastAsia="ja-JP"/>
        </w:rPr>
        <w:t>L</w:t>
      </w:r>
      <w:r>
        <w:rPr>
          <w:lang w:eastAsia="ja-JP"/>
        </w:rPr>
        <w:t>et us briefly revisit the band combination selection issue. The essence o</w:t>
      </w:r>
      <w:r w:rsidR="009B18E5">
        <w:rPr>
          <w:lang w:eastAsia="ja-JP"/>
        </w:rPr>
        <w:t>f the issue can be summarized as follows</w:t>
      </w:r>
      <w:r>
        <w:rPr>
          <w:lang w:eastAsia="ja-JP"/>
        </w:rPr>
        <w:t>.</w:t>
      </w:r>
    </w:p>
    <w:p w14:paraId="172CB807" w14:textId="77777777" w:rsidR="00F63B3B" w:rsidRPr="000D09DB" w:rsidRDefault="000D09DB" w:rsidP="000D09DB">
      <w:pPr>
        <w:rPr>
          <w:b/>
        </w:rPr>
      </w:pPr>
      <w:r>
        <w:rPr>
          <w:b/>
        </w:rPr>
        <w:t xml:space="preserve">Observation 1: </w:t>
      </w:r>
      <w:r w:rsidR="00F63B3B" w:rsidRPr="000D09DB">
        <w:rPr>
          <w:rFonts w:hint="eastAsia"/>
          <w:b/>
        </w:rPr>
        <w:t>E</w:t>
      </w:r>
      <w:r w:rsidR="00F63B3B" w:rsidRPr="000D09DB">
        <w:rPr>
          <w:b/>
        </w:rPr>
        <w:t>N-DC setup fails in the case where:</w:t>
      </w:r>
    </w:p>
    <w:p w14:paraId="299C96AC" w14:textId="77777777" w:rsidR="005E200D" w:rsidRPr="005E200D" w:rsidRDefault="005E200D" w:rsidP="00F63B3B">
      <w:pPr>
        <w:pStyle w:val="Observation"/>
        <w:numPr>
          <w:ilvl w:val="0"/>
          <w:numId w:val="17"/>
        </w:numPr>
        <w:rPr>
          <w:lang w:eastAsia="en-GB"/>
        </w:rPr>
      </w:pPr>
      <w:r w:rsidRPr="005E200D">
        <w:t>gNB support</w:t>
      </w:r>
      <w:r w:rsidR="00F63B3B">
        <w:t>s</w:t>
      </w:r>
      <w:r w:rsidRPr="005E200D">
        <w:t xml:space="preserve"> only a certain value</w:t>
      </w:r>
      <w:r w:rsidR="00F63B3B">
        <w:t xml:space="preserve"> (or limited values)</w:t>
      </w:r>
      <w:r w:rsidRPr="005E200D">
        <w:t xml:space="preserve"> of bandwidth, e.g. 100MHz</w:t>
      </w:r>
      <w:r w:rsidR="00F63B3B">
        <w:t>, for a CC in a certain band; and</w:t>
      </w:r>
    </w:p>
    <w:p w14:paraId="774D0BD0" w14:textId="77777777" w:rsidR="005E200D" w:rsidRPr="005E200D" w:rsidRDefault="005E200D" w:rsidP="00F63B3B">
      <w:pPr>
        <w:pStyle w:val="Observation"/>
        <w:numPr>
          <w:ilvl w:val="0"/>
          <w:numId w:val="17"/>
        </w:numPr>
        <w:rPr>
          <w:lang w:eastAsia="en-GB"/>
        </w:rPr>
      </w:pPr>
      <w:r w:rsidRPr="005E200D">
        <w:rPr>
          <w:rFonts w:hint="eastAsia"/>
        </w:rPr>
        <w:t>U</w:t>
      </w:r>
      <w:r w:rsidRPr="005E200D">
        <w:t>E support</w:t>
      </w:r>
      <w:r w:rsidR="00F63B3B">
        <w:t>s</w:t>
      </w:r>
      <w:r w:rsidRPr="005E200D">
        <w:t xml:space="preserve"> the band above, but</w:t>
      </w:r>
      <w:r w:rsidR="00F63B3B">
        <w:t xml:space="preserve"> some band combination(s) in the UE capability</w:t>
      </w:r>
      <w:r w:rsidRPr="005E200D">
        <w:t xml:space="preserve"> </w:t>
      </w:r>
      <w:r w:rsidR="00F63B3B">
        <w:t xml:space="preserve">does </w:t>
      </w:r>
      <w:r w:rsidRPr="005E200D">
        <w:t>not support the above bandwidth</w:t>
      </w:r>
      <w:r w:rsidR="00F63B3B">
        <w:t xml:space="preserve"> of the band</w:t>
      </w:r>
      <w:r w:rsidRPr="005E200D">
        <w:t xml:space="preserve"> </w:t>
      </w:r>
      <w:r w:rsidR="00F63B3B">
        <w:t>(</w:t>
      </w:r>
      <w:r w:rsidRPr="005E200D">
        <w:t>e</w:t>
      </w:r>
      <w:r w:rsidR="00F63B3B">
        <w:t>.g. max 40MHz is supported); and</w:t>
      </w:r>
    </w:p>
    <w:p w14:paraId="61CB27C4" w14:textId="77777777" w:rsidR="009B18E5" w:rsidRDefault="005E200D" w:rsidP="00F63B3B">
      <w:pPr>
        <w:pStyle w:val="Observation"/>
        <w:numPr>
          <w:ilvl w:val="0"/>
          <w:numId w:val="17"/>
        </w:numPr>
        <w:rPr>
          <w:lang w:eastAsia="en-GB"/>
        </w:rPr>
      </w:pPr>
      <w:r w:rsidRPr="005E200D">
        <w:rPr>
          <w:i/>
        </w:rPr>
        <w:t>allowedBC-ListMRDC</w:t>
      </w:r>
      <w:r w:rsidRPr="005E200D">
        <w:t xml:space="preserve"> sent from eNB </w:t>
      </w:r>
      <w:r w:rsidR="00F63B3B">
        <w:t>to gNB contains only such band combination(s) that supported bandwidth of a band in the band combination does not match between gNB (e.g. 100MHz) and UE (e.g. 40MHz).</w:t>
      </w:r>
    </w:p>
    <w:p w14:paraId="49C1781F" w14:textId="77777777" w:rsidR="009B18E5" w:rsidRPr="009B18E5" w:rsidRDefault="009B18E5" w:rsidP="009B18E5">
      <w:pPr>
        <w:rPr>
          <w:lang w:eastAsia="ja-JP"/>
        </w:rPr>
      </w:pPr>
      <w:r>
        <w:rPr>
          <w:rFonts w:hint="eastAsia"/>
          <w:lang w:eastAsia="ja-JP"/>
        </w:rPr>
        <w:t>M</w:t>
      </w:r>
      <w:r>
        <w:rPr>
          <w:lang w:eastAsia="ja-JP"/>
        </w:rPr>
        <w:t xml:space="preserve">ore specific case </w:t>
      </w:r>
      <w:r w:rsidR="003542BF">
        <w:rPr>
          <w:lang w:eastAsia="ja-JP"/>
        </w:rPr>
        <w:t>studies are</w:t>
      </w:r>
      <w:r>
        <w:rPr>
          <w:lang w:eastAsia="ja-JP"/>
        </w:rPr>
        <w:t xml:space="preserve"> provided in the sub-sections.</w:t>
      </w:r>
    </w:p>
    <w:p w14:paraId="1E2A2903" w14:textId="77777777" w:rsidR="005E200D" w:rsidRPr="005E200D" w:rsidRDefault="00591713" w:rsidP="005E200D">
      <w:pPr>
        <w:pStyle w:val="3"/>
      </w:pPr>
      <w:bookmarkStart w:id="1" w:name="_Ref75540445"/>
      <w:r>
        <w:t>Discussion in RAN2 #113-e</w:t>
      </w:r>
      <w:r w:rsidR="001961A4">
        <w:t>: eNB Implementa</w:t>
      </w:r>
      <w:r w:rsidR="001D0B30">
        <w:t>tion-B</w:t>
      </w:r>
      <w:r w:rsidR="001961A4">
        <w:t>ased Solution</w:t>
      </w:r>
      <w:bookmarkEnd w:id="1"/>
    </w:p>
    <w:p w14:paraId="52741335" w14:textId="77777777" w:rsidR="005E200D" w:rsidRDefault="005E200D" w:rsidP="00401252">
      <w:pPr>
        <w:rPr>
          <w:lang w:eastAsia="ja-JP"/>
        </w:rPr>
      </w:pPr>
      <w:r>
        <w:rPr>
          <w:lang w:eastAsia="ja-JP"/>
        </w:rPr>
        <w:t>The specific issue in R2-2100772</w:t>
      </w:r>
      <w:sdt>
        <w:sdtPr>
          <w:rPr>
            <w:lang w:eastAsia="ja-JP"/>
          </w:rPr>
          <w:id w:val="-712104849"/>
          <w:citation/>
        </w:sdtPr>
        <w:sdtEndPr/>
        <w:sdtContent>
          <w:r>
            <w:rPr>
              <w:lang w:eastAsia="ja-JP"/>
            </w:rPr>
            <w:fldChar w:fldCharType="begin"/>
          </w:r>
          <w:r>
            <w:rPr>
              <w:lang w:eastAsia="ja-JP"/>
            </w:rPr>
            <w:instrText xml:space="preserve"> </w:instrText>
          </w:r>
          <w:r>
            <w:rPr>
              <w:rFonts w:hint="eastAsia"/>
              <w:lang w:eastAsia="ja-JP"/>
            </w:rPr>
            <w:instrText>CITATION 1 \l 1041</w:instrText>
          </w:r>
          <w:r>
            <w:rPr>
              <w:lang w:eastAsia="ja-JP"/>
            </w:rPr>
            <w:instrText xml:space="preserve"> </w:instrText>
          </w:r>
          <w:r>
            <w:rPr>
              <w:lang w:eastAsia="ja-JP"/>
            </w:rPr>
            <w:fldChar w:fldCharType="separate"/>
          </w:r>
          <w:r w:rsidR="000A41C1">
            <w:rPr>
              <w:rFonts w:hint="eastAsia"/>
              <w:noProof/>
              <w:lang w:eastAsia="ja-JP"/>
            </w:rPr>
            <w:t xml:space="preserve"> [1]</w:t>
          </w:r>
          <w:r>
            <w:rPr>
              <w:lang w:eastAsia="ja-JP"/>
            </w:rPr>
            <w:fldChar w:fldCharType="end"/>
          </w:r>
        </w:sdtContent>
      </w:sdt>
      <w:r>
        <w:rPr>
          <w:lang w:eastAsia="ja-JP"/>
        </w:rPr>
        <w:t xml:space="preserve"> is shown in Figure 1. The maximum bandwidth supported by the UE in a NR band varies according to the number of LTE CCs. If number of LTE CCs is less than two, then 100MHz bandwidth can be used in the NR band. On the other hand, if the number of LTE CCs is more than two, then only 40MHz bandwidth ca</w:t>
      </w:r>
      <w:r w:rsidR="00A80F7C">
        <w:rPr>
          <w:lang w:eastAsia="ja-JP"/>
        </w:rPr>
        <w:t>n be used in the NR band. In this</w:t>
      </w:r>
      <w:r>
        <w:rPr>
          <w:lang w:eastAsia="ja-JP"/>
        </w:rPr>
        <w:t xml:space="preserve"> specific</w:t>
      </w:r>
      <w:r w:rsidR="00A80F7C">
        <w:rPr>
          <w:lang w:eastAsia="ja-JP"/>
        </w:rPr>
        <w:t xml:space="preserve"> case</w:t>
      </w:r>
      <w:r>
        <w:rPr>
          <w:lang w:eastAsia="ja-JP"/>
        </w:rPr>
        <w:t xml:space="preserve">, </w:t>
      </w:r>
      <w:r w:rsidR="00A80F7C">
        <w:rPr>
          <w:lang w:eastAsia="ja-JP"/>
        </w:rPr>
        <w:t xml:space="preserve">the </w:t>
      </w:r>
      <w:r>
        <w:rPr>
          <w:lang w:eastAsia="ja-JP"/>
        </w:rPr>
        <w:t xml:space="preserve">eNB firstly determines the number of LTE CCs (&gt;3), and “narrows down” the </w:t>
      </w:r>
      <w:r w:rsidRPr="005E200D">
        <w:rPr>
          <w:i/>
          <w:lang w:eastAsia="ja-JP"/>
        </w:rPr>
        <w:t>allowedBC-ListMRDC</w:t>
      </w:r>
      <w:r>
        <w:rPr>
          <w:lang w:eastAsia="ja-JP"/>
        </w:rPr>
        <w:t xml:space="preserve"> to allow only 40MHz bandwidth in the NR band, which leads to SgNB addition rejection due to lack of support for 40MHz operation by the gNB.</w:t>
      </w:r>
    </w:p>
    <w:p w14:paraId="4A11BE28" w14:textId="036D1AF2" w:rsidR="005E200D" w:rsidRDefault="00B61016" w:rsidP="005E200D">
      <w:pPr>
        <w:jc w:val="center"/>
      </w:pPr>
      <w:r>
        <w:rPr>
          <w:noProof/>
          <w:lang w:val="en-US" w:eastAsia="ja-JP"/>
        </w:rPr>
        <w:lastRenderedPageBreak/>
        <w:drawing>
          <wp:inline distT="0" distB="0" distL="0" distR="0" wp14:anchorId="7F41D214" wp14:editId="2C0106E1">
            <wp:extent cx="5153904" cy="27355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6238" cy="2742126"/>
                    </a:xfrm>
                    <a:prstGeom prst="rect">
                      <a:avLst/>
                    </a:prstGeom>
                    <a:noFill/>
                  </pic:spPr>
                </pic:pic>
              </a:graphicData>
            </a:graphic>
          </wp:inline>
        </w:drawing>
      </w:r>
    </w:p>
    <w:p w14:paraId="25B8DF92" w14:textId="77777777" w:rsidR="005E200D" w:rsidRPr="005E200D" w:rsidRDefault="005E200D" w:rsidP="005E200D">
      <w:pPr>
        <w:jc w:val="center"/>
        <w:rPr>
          <w:b/>
          <w:lang w:eastAsia="ja-JP"/>
        </w:rPr>
      </w:pPr>
      <w:r w:rsidRPr="005E200D">
        <w:rPr>
          <w:rFonts w:hint="eastAsia"/>
          <w:b/>
          <w:lang w:eastAsia="ja-JP"/>
        </w:rPr>
        <w:t>F</w:t>
      </w:r>
      <w:r w:rsidRPr="005E200D">
        <w:rPr>
          <w:b/>
          <w:lang w:eastAsia="ja-JP"/>
        </w:rPr>
        <w:t xml:space="preserve">igure 1: EN-DC </w:t>
      </w:r>
      <w:r w:rsidR="009B18E5">
        <w:rPr>
          <w:b/>
          <w:lang w:eastAsia="ja-JP"/>
        </w:rPr>
        <w:t>s</w:t>
      </w:r>
      <w:r w:rsidRPr="005E200D">
        <w:rPr>
          <w:b/>
          <w:lang w:eastAsia="ja-JP"/>
        </w:rPr>
        <w:t xml:space="preserve">etup </w:t>
      </w:r>
      <w:r w:rsidR="009B18E5">
        <w:rPr>
          <w:b/>
          <w:lang w:eastAsia="ja-JP"/>
        </w:rPr>
        <w:t>f</w:t>
      </w:r>
      <w:r w:rsidRPr="005E200D">
        <w:rPr>
          <w:b/>
          <w:lang w:eastAsia="ja-JP"/>
        </w:rPr>
        <w:t xml:space="preserve">ailure </w:t>
      </w:r>
      <w:r w:rsidR="009B18E5">
        <w:rPr>
          <w:b/>
          <w:lang w:eastAsia="ja-JP"/>
        </w:rPr>
        <w:t>d</w:t>
      </w:r>
      <w:r w:rsidRPr="005E200D">
        <w:rPr>
          <w:b/>
          <w:lang w:eastAsia="ja-JP"/>
        </w:rPr>
        <w:t xml:space="preserve">ue to </w:t>
      </w:r>
      <w:r w:rsidR="009B18E5">
        <w:rPr>
          <w:b/>
          <w:lang w:eastAsia="ja-JP"/>
        </w:rPr>
        <w:t>n</w:t>
      </w:r>
      <w:r w:rsidRPr="005E200D">
        <w:rPr>
          <w:b/>
          <w:lang w:eastAsia="ja-JP"/>
        </w:rPr>
        <w:t>arrowing-</w:t>
      </w:r>
      <w:r w:rsidR="009B18E5">
        <w:rPr>
          <w:b/>
          <w:lang w:eastAsia="ja-JP"/>
        </w:rPr>
        <w:t>d</w:t>
      </w:r>
      <w:r w:rsidRPr="005E200D">
        <w:rPr>
          <w:b/>
          <w:lang w:eastAsia="ja-JP"/>
        </w:rPr>
        <w:t>own of the BCs</w:t>
      </w:r>
    </w:p>
    <w:p w14:paraId="4065B21D" w14:textId="77777777" w:rsidR="005E200D" w:rsidRDefault="005E200D" w:rsidP="00401252">
      <w:pPr>
        <w:rPr>
          <w:lang w:eastAsia="ja-JP"/>
        </w:rPr>
      </w:pPr>
      <w:r>
        <w:rPr>
          <w:rFonts w:hint="eastAsia"/>
          <w:lang w:eastAsia="ja-JP"/>
        </w:rPr>
        <w:t>T</w:t>
      </w:r>
      <w:r>
        <w:rPr>
          <w:lang w:eastAsia="ja-JP"/>
        </w:rPr>
        <w:t>o mitigate the above issue, the following was captured in the chair notes of RAN2 #113-e.</w:t>
      </w:r>
    </w:p>
    <w:p w14:paraId="186EE6B8" w14:textId="77777777" w:rsidR="005E200D" w:rsidRPr="00E92E40" w:rsidRDefault="005E200D" w:rsidP="005E200D">
      <w:pPr>
        <w:pStyle w:val="Agreement"/>
      </w:pPr>
      <w:r>
        <w:t xml:space="preserve">[007] When configuring allowedBC-ListMR-DC, the MN may increase the probability that the SN finds a suitable SCG configuration by including in this field all entries that comprise at least the PCell band. </w:t>
      </w:r>
    </w:p>
    <w:p w14:paraId="7195CEB2" w14:textId="77777777" w:rsidR="005E200D" w:rsidRDefault="005E200D" w:rsidP="00401252">
      <w:pPr>
        <w:rPr>
          <w:lang w:eastAsia="ja-JP"/>
        </w:rPr>
      </w:pPr>
    </w:p>
    <w:p w14:paraId="1B27892A" w14:textId="77777777" w:rsidR="00243124" w:rsidRDefault="005E200D" w:rsidP="00243124">
      <w:pPr>
        <w:rPr>
          <w:lang w:eastAsia="ja-JP"/>
        </w:rPr>
      </w:pPr>
      <w:r>
        <w:rPr>
          <w:rFonts w:hint="eastAsia"/>
          <w:lang w:eastAsia="ja-JP"/>
        </w:rPr>
        <w:t>I</w:t>
      </w:r>
      <w:r>
        <w:rPr>
          <w:lang w:eastAsia="ja-JP"/>
        </w:rPr>
        <w:t>n this specific case, if the eNB</w:t>
      </w:r>
      <w:r w:rsidR="009B18E5">
        <w:rPr>
          <w:lang w:eastAsia="ja-JP"/>
        </w:rPr>
        <w:t xml:space="preserve"> implementation</w:t>
      </w:r>
      <w:r>
        <w:rPr>
          <w:lang w:eastAsia="ja-JP"/>
        </w:rPr>
        <w:t xml:space="preserve"> does not narrow down the allowed BC list as suggested in the chair notes, BC #2 (LTE 2CC + NR 100MHz) remains in the allowed BC list and </w:t>
      </w:r>
      <w:r w:rsidR="009B18E5">
        <w:rPr>
          <w:lang w:eastAsia="ja-JP"/>
        </w:rPr>
        <w:t>EN-DC setup succeeds.</w:t>
      </w:r>
      <w:r w:rsidR="00243124">
        <w:rPr>
          <w:lang w:eastAsia="ja-JP"/>
        </w:rPr>
        <w:t xml:space="preserve"> As the essence of this solution is that the eNB “does not narrow down” the allowed BC list, the solution can resolve the problem only under the condition that at least one BC in the UE capability (in this case, BC #2) matches the bandwidth supported by the gNB. </w:t>
      </w:r>
    </w:p>
    <w:p w14:paraId="56C5C588" w14:textId="77777777" w:rsidR="00243124" w:rsidRPr="000D09DB" w:rsidRDefault="000D09DB" w:rsidP="000D09DB">
      <w:pPr>
        <w:rPr>
          <w:b/>
        </w:rPr>
      </w:pPr>
      <w:r>
        <w:rPr>
          <w:b/>
        </w:rPr>
        <w:t xml:space="preserve">Observation 2: </w:t>
      </w:r>
      <w:r w:rsidR="00243124" w:rsidRPr="000D09DB">
        <w:rPr>
          <w:rFonts w:hint="eastAsia"/>
          <w:b/>
        </w:rPr>
        <w:t>T</w:t>
      </w:r>
      <w:r w:rsidR="00243124" w:rsidRPr="000D09DB">
        <w:rPr>
          <w:b/>
        </w:rPr>
        <w:t>he solution in RAN2 #113-e based on eNB implementation is valid only under the condition that at least one BC in the UE capability matches the bandwidth supported by the gNB.</w:t>
      </w:r>
    </w:p>
    <w:p w14:paraId="7C37D1DD" w14:textId="77777777" w:rsidR="005E200D" w:rsidRDefault="00243124" w:rsidP="00401252">
      <w:pPr>
        <w:rPr>
          <w:lang w:eastAsia="ja-JP"/>
        </w:rPr>
      </w:pPr>
      <w:r>
        <w:rPr>
          <w:lang w:eastAsia="ja-JP"/>
        </w:rPr>
        <w:t>Unfortunately, this condition is not ensured by the specifications. Let us discuss it in the next subsection.</w:t>
      </w:r>
    </w:p>
    <w:p w14:paraId="047AF4DD" w14:textId="77777777" w:rsidR="009B18E5" w:rsidRDefault="001E13DE" w:rsidP="009B18E5">
      <w:pPr>
        <w:pStyle w:val="3"/>
      </w:pPr>
      <w:r>
        <w:rPr>
          <w:rFonts w:hint="eastAsia"/>
        </w:rPr>
        <w:t>R</w:t>
      </w:r>
      <w:r>
        <w:t>emaining Issue</w:t>
      </w:r>
    </w:p>
    <w:p w14:paraId="7C107336" w14:textId="77777777" w:rsidR="00905051" w:rsidRPr="00905051" w:rsidRDefault="00701A8A" w:rsidP="009E543F">
      <w:pPr>
        <w:rPr>
          <w:lang w:eastAsia="ja-JP"/>
        </w:rPr>
      </w:pPr>
      <w:r>
        <w:rPr>
          <w:lang w:eastAsia="ja-JP"/>
        </w:rPr>
        <w:t>T</w:t>
      </w:r>
      <w:r w:rsidR="009E543F">
        <w:rPr>
          <w:lang w:eastAsia="ja-JP"/>
        </w:rPr>
        <w:t xml:space="preserve">he maximum bandwidth supported by the UE is </w:t>
      </w:r>
      <w:r>
        <w:rPr>
          <w:lang w:eastAsia="ja-JP"/>
        </w:rPr>
        <w:t xml:space="preserve">indicated in </w:t>
      </w:r>
      <w:r w:rsidRPr="00701A8A">
        <w:rPr>
          <w:i/>
          <w:lang w:eastAsia="ja-JP"/>
        </w:rPr>
        <w:t>supportedBandwidthDL/UL</w:t>
      </w:r>
      <w:r w:rsidR="00243124">
        <w:rPr>
          <w:lang w:eastAsia="ja-JP"/>
        </w:rPr>
        <w:t>.</w:t>
      </w:r>
      <w:r>
        <w:rPr>
          <w:lang w:eastAsia="ja-JP"/>
        </w:rPr>
        <w:t xml:space="preserve"> In 38.306, the following description for </w:t>
      </w:r>
      <w:r w:rsidRPr="00701A8A">
        <w:rPr>
          <w:i/>
          <w:lang w:eastAsia="ja-JP"/>
        </w:rPr>
        <w:t>supportedBandwidthDL</w:t>
      </w:r>
      <w:r>
        <w:rPr>
          <w:i/>
          <w:lang w:eastAsia="ja-JP"/>
        </w:rPr>
        <w:t>/UL</w:t>
      </w:r>
      <w:r>
        <w:rPr>
          <w:lang w:eastAsia="ja-JP"/>
        </w:rPr>
        <w:t xml:space="preserve"> can be found.</w:t>
      </w:r>
    </w:p>
    <w:p w14:paraId="1E20CFE9" w14:textId="77777777" w:rsidR="00701A8A" w:rsidRDefault="00905051" w:rsidP="009E543F">
      <w:pPr>
        <w:rPr>
          <w:i/>
          <w:lang w:eastAsia="ja-JP"/>
        </w:rPr>
      </w:pPr>
      <w:r>
        <w:rPr>
          <w:i/>
          <w:lang w:eastAsia="ja-JP"/>
        </w:rPr>
        <w:t>--</w:t>
      </w:r>
      <w:r>
        <w:rPr>
          <w:i/>
          <w:lang w:eastAsia="ja-JP"/>
        </w:rPr>
        <w:br/>
      </w:r>
      <w:r w:rsidR="00701A8A" w:rsidRPr="00701A8A">
        <w:rPr>
          <w:i/>
          <w:lang w:eastAsia="ja-JP"/>
        </w:rPr>
        <w:t xml:space="preserve">For FR1, all the bandwidths listed in TS38.101-1 Table 5.3.5-1 for each band shall be mandatory </w:t>
      </w:r>
      <w:r w:rsidR="00701A8A" w:rsidRPr="00701A8A">
        <w:rPr>
          <w:i/>
          <w:highlight w:val="yellow"/>
          <w:lang w:eastAsia="ja-JP"/>
        </w:rPr>
        <w:t>with a single CC</w:t>
      </w:r>
      <w:r w:rsidR="00701A8A" w:rsidRPr="00701A8A">
        <w:rPr>
          <w:i/>
          <w:lang w:eastAsia="ja-JP"/>
        </w:rPr>
        <w:t xml:space="preserve"> unless indicated optional. For FR2, the set of mandatory CBW is 50, 100, 200 MHz. When this field is included </w:t>
      </w:r>
      <w:r w:rsidR="00701A8A" w:rsidRPr="00701A8A">
        <w:rPr>
          <w:i/>
          <w:highlight w:val="yellow"/>
          <w:lang w:eastAsia="ja-JP"/>
        </w:rPr>
        <w:t>in a band combination with a single band entry and a single CC entry</w:t>
      </w:r>
      <w:r w:rsidR="00701A8A" w:rsidRPr="00701A8A">
        <w:rPr>
          <w:i/>
          <w:lang w:eastAsia="ja-JP"/>
        </w:rPr>
        <w:t xml:space="preserve"> (i.e. non-CA band combination), the UE shall indicate the maximum channel bandwidth for the band according to TS 38.101-1 [2] and TS 38.101-2 [3].</w:t>
      </w:r>
      <w:r>
        <w:rPr>
          <w:i/>
          <w:lang w:eastAsia="ja-JP"/>
        </w:rPr>
        <w:br/>
        <w:t>--</w:t>
      </w:r>
    </w:p>
    <w:p w14:paraId="6BD4E9B2" w14:textId="49BA7BB5" w:rsidR="007373EA" w:rsidRPr="007373EA" w:rsidRDefault="00787EED" w:rsidP="009E543F">
      <w:pPr>
        <w:rPr>
          <w:lang w:eastAsia="ja-JP"/>
        </w:rPr>
      </w:pPr>
      <w:r>
        <w:rPr>
          <w:rFonts w:hint="eastAsia"/>
          <w:lang w:eastAsia="ja-JP"/>
        </w:rPr>
        <w:t>A</w:t>
      </w:r>
      <w:r>
        <w:rPr>
          <w:lang w:eastAsia="ja-JP"/>
        </w:rPr>
        <w:t xml:space="preserve">s </w:t>
      </w:r>
      <w:r w:rsidR="00701A8A">
        <w:rPr>
          <w:lang w:eastAsia="ja-JP"/>
        </w:rPr>
        <w:t>highlighted</w:t>
      </w:r>
      <w:r>
        <w:rPr>
          <w:lang w:eastAsia="ja-JP"/>
        </w:rPr>
        <w:t xml:space="preserve"> above, for FR1, the support for bandwidths </w:t>
      </w:r>
      <w:r w:rsidR="00701A8A">
        <w:rPr>
          <w:lang w:eastAsia="ja-JP"/>
        </w:rPr>
        <w:t xml:space="preserve">is mandated </w:t>
      </w:r>
      <w:r>
        <w:rPr>
          <w:lang w:eastAsia="ja-JP"/>
        </w:rPr>
        <w:t>only for a single CC case</w:t>
      </w:r>
      <w:r w:rsidR="00CA1305">
        <w:rPr>
          <w:lang w:eastAsia="ja-JP"/>
        </w:rPr>
        <w:t>, i.e., non-CA case in NR standalone operation</w:t>
      </w:r>
      <w:r>
        <w:rPr>
          <w:lang w:eastAsia="ja-JP"/>
        </w:rPr>
        <w:t xml:space="preserve">. </w:t>
      </w:r>
      <w:r w:rsidR="00243124">
        <w:rPr>
          <w:lang w:eastAsia="ja-JP"/>
        </w:rPr>
        <w:t>For</w:t>
      </w:r>
      <w:r>
        <w:rPr>
          <w:lang w:eastAsia="ja-JP"/>
        </w:rPr>
        <w:t xml:space="preserve"> EN-DC, it is obvious that multiple CCs (i.e. at least LTE and NR) are used. Theref</w:t>
      </w:r>
      <w:r w:rsidR="00243124">
        <w:rPr>
          <w:lang w:eastAsia="ja-JP"/>
        </w:rPr>
        <w:t>ore, for</w:t>
      </w:r>
      <w:r>
        <w:rPr>
          <w:lang w:eastAsia="ja-JP"/>
        </w:rPr>
        <w:t xml:space="preserve"> EN-DC, there is no mandatory requirement for FR1 bandwidth</w:t>
      </w:r>
      <w:r w:rsidR="00B83191">
        <w:rPr>
          <w:lang w:eastAsia="ja-JP"/>
        </w:rPr>
        <w:t>s</w:t>
      </w:r>
      <w:r>
        <w:rPr>
          <w:lang w:eastAsia="ja-JP"/>
        </w:rPr>
        <w:t>. This explains why</w:t>
      </w:r>
      <w:r w:rsidR="00CA1305">
        <w:rPr>
          <w:lang w:eastAsia="ja-JP"/>
        </w:rPr>
        <w:t xml:space="preserve"> the case that the UE only supports</w:t>
      </w:r>
      <w:r>
        <w:rPr>
          <w:lang w:eastAsia="ja-JP"/>
        </w:rPr>
        <w:t xml:space="preserve"> BC #1 in Figure 1 (LTE 5CC + NR (n78) 40MHz) did exist even though 100MHz CBW is listed in </w:t>
      </w:r>
      <w:r w:rsidR="00243124">
        <w:rPr>
          <w:lang w:eastAsia="ja-JP"/>
        </w:rPr>
        <w:t>the “mandatory bandwidths” table</w:t>
      </w:r>
      <w:r w:rsidR="00CA1305">
        <w:rPr>
          <w:lang w:eastAsia="ja-JP"/>
        </w:rPr>
        <w:t xml:space="preserve"> for a single CC</w:t>
      </w:r>
      <w:r w:rsidR="00243124">
        <w:rPr>
          <w:lang w:eastAsia="ja-JP"/>
        </w:rPr>
        <w:t xml:space="preserve">, i.e. </w:t>
      </w:r>
      <w:r w:rsidR="00126564">
        <w:rPr>
          <w:lang w:eastAsia="ja-JP"/>
        </w:rPr>
        <w:t>Table 5.3.5-1 of TS 38.101-1 v15.0.0</w:t>
      </w:r>
      <w:r>
        <w:rPr>
          <w:lang w:eastAsia="ja-JP"/>
        </w:rPr>
        <w:t xml:space="preserve">. </w:t>
      </w:r>
    </w:p>
    <w:p w14:paraId="62163983" w14:textId="77777777" w:rsidR="001961A4" w:rsidRPr="000D09DB" w:rsidRDefault="000D09DB" w:rsidP="000D09DB">
      <w:pPr>
        <w:rPr>
          <w:b/>
        </w:rPr>
      </w:pPr>
      <w:r>
        <w:rPr>
          <w:b/>
        </w:rPr>
        <w:t xml:space="preserve">Observation 3: </w:t>
      </w:r>
      <w:r w:rsidR="007373EA" w:rsidRPr="000D09DB">
        <w:rPr>
          <w:rFonts w:hint="eastAsia"/>
          <w:b/>
        </w:rPr>
        <w:t>M</w:t>
      </w:r>
      <w:r w:rsidR="007373EA" w:rsidRPr="000D09DB">
        <w:rPr>
          <w:b/>
        </w:rPr>
        <w:t>andatory support for bandwidths in TS 38.101-1 applies only for a single CC case.</w:t>
      </w:r>
      <w:r w:rsidR="00243124" w:rsidRPr="000D09DB">
        <w:rPr>
          <w:b/>
        </w:rPr>
        <w:t xml:space="preserve"> For</w:t>
      </w:r>
      <w:r w:rsidR="00787EED" w:rsidRPr="000D09DB">
        <w:rPr>
          <w:b/>
        </w:rPr>
        <w:t xml:space="preserve"> EN-DC, as multiple CCs are always used, there is no mandatory </w:t>
      </w:r>
      <w:r w:rsidR="00B83191" w:rsidRPr="000D09DB">
        <w:rPr>
          <w:b/>
        </w:rPr>
        <w:t xml:space="preserve">bandwidths specified </w:t>
      </w:r>
      <w:r w:rsidR="00787EED" w:rsidRPr="000D09DB">
        <w:rPr>
          <w:b/>
        </w:rPr>
        <w:t>for FR1.</w:t>
      </w:r>
    </w:p>
    <w:p w14:paraId="09A94D81" w14:textId="77777777" w:rsidR="007373EA" w:rsidRDefault="00B83191" w:rsidP="001961A4">
      <w:pPr>
        <w:rPr>
          <w:lang w:eastAsia="ja-JP"/>
        </w:rPr>
      </w:pPr>
      <w:r>
        <w:rPr>
          <w:lang w:eastAsia="ja-JP"/>
        </w:rPr>
        <w:t>Therefore, UEs that support only limited bandwidth in NR part of EN-DC can exist under current specifications. For example, as shown in Figure 2, if the UE only supports the maximum bandwidth of 40MHz for NR part of EN-DC irrespective of LTE part, the EN-DC with the gNB in 100MHz operation would fail.</w:t>
      </w:r>
    </w:p>
    <w:p w14:paraId="3F0F0B74" w14:textId="77777777" w:rsidR="00920B89" w:rsidRPr="000D09DB" w:rsidRDefault="000D09DB" w:rsidP="000D09DB">
      <w:pPr>
        <w:rPr>
          <w:b/>
        </w:rPr>
      </w:pPr>
      <w:r w:rsidRPr="000D09DB">
        <w:rPr>
          <w:b/>
        </w:rPr>
        <w:lastRenderedPageBreak/>
        <w:t xml:space="preserve">Observation 4: </w:t>
      </w:r>
      <w:r w:rsidR="00920B89" w:rsidRPr="000D09DB">
        <w:rPr>
          <w:rFonts w:hint="eastAsia"/>
          <w:b/>
        </w:rPr>
        <w:t>T</w:t>
      </w:r>
      <w:r w:rsidR="00920B89" w:rsidRPr="000D09DB">
        <w:rPr>
          <w:b/>
        </w:rPr>
        <w:t>he solution in RAN2 #113-e based on eNB implementation cannot prevent EN-DC setup failure in circumstances where UE only supports limited bandwidth in a</w:t>
      </w:r>
      <w:r w:rsidR="00E07895" w:rsidRPr="000D09DB">
        <w:rPr>
          <w:b/>
        </w:rPr>
        <w:t xml:space="preserve"> certain NR band irrespective of</w:t>
      </w:r>
      <w:r w:rsidR="00920B89" w:rsidRPr="000D09DB">
        <w:rPr>
          <w:b/>
        </w:rPr>
        <w:t xml:space="preserve"> LTE band combinations.</w:t>
      </w:r>
    </w:p>
    <w:p w14:paraId="3F3746D2" w14:textId="2E3E4335" w:rsidR="00787EED" w:rsidRDefault="00B61016" w:rsidP="00787EED">
      <w:pPr>
        <w:jc w:val="center"/>
        <w:rPr>
          <w:lang w:eastAsia="ja-JP"/>
        </w:rPr>
      </w:pPr>
      <w:r>
        <w:rPr>
          <w:noProof/>
          <w:lang w:val="en-US" w:eastAsia="ja-JP"/>
        </w:rPr>
        <w:drawing>
          <wp:inline distT="0" distB="0" distL="0" distR="0" wp14:anchorId="39B19E9E" wp14:editId="6FB27136">
            <wp:extent cx="5382864" cy="2689860"/>
            <wp:effectExtent l="0" t="0" r="889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7199" cy="2692026"/>
                    </a:xfrm>
                    <a:prstGeom prst="rect">
                      <a:avLst/>
                    </a:prstGeom>
                    <a:noFill/>
                  </pic:spPr>
                </pic:pic>
              </a:graphicData>
            </a:graphic>
          </wp:inline>
        </w:drawing>
      </w:r>
    </w:p>
    <w:p w14:paraId="46A4AC6C" w14:textId="77777777" w:rsidR="00787EED" w:rsidRPr="005E200D" w:rsidRDefault="00787EED" w:rsidP="00787EED">
      <w:pPr>
        <w:jc w:val="center"/>
        <w:rPr>
          <w:b/>
          <w:lang w:eastAsia="ja-JP"/>
        </w:rPr>
      </w:pPr>
      <w:r w:rsidRPr="005E200D">
        <w:rPr>
          <w:rFonts w:hint="eastAsia"/>
          <w:b/>
          <w:lang w:eastAsia="ja-JP"/>
        </w:rPr>
        <w:t>F</w:t>
      </w:r>
      <w:r>
        <w:rPr>
          <w:b/>
          <w:lang w:eastAsia="ja-JP"/>
        </w:rPr>
        <w:t>igure 2</w:t>
      </w:r>
      <w:r w:rsidRPr="005E200D">
        <w:rPr>
          <w:b/>
          <w:lang w:eastAsia="ja-JP"/>
        </w:rPr>
        <w:t xml:space="preserve">: EN-DC </w:t>
      </w:r>
      <w:r>
        <w:rPr>
          <w:b/>
          <w:lang w:eastAsia="ja-JP"/>
        </w:rPr>
        <w:t>s</w:t>
      </w:r>
      <w:r w:rsidRPr="005E200D">
        <w:rPr>
          <w:b/>
          <w:lang w:eastAsia="ja-JP"/>
        </w:rPr>
        <w:t xml:space="preserve">etup </w:t>
      </w:r>
      <w:r>
        <w:rPr>
          <w:b/>
          <w:lang w:eastAsia="ja-JP"/>
        </w:rPr>
        <w:t>f</w:t>
      </w:r>
      <w:r w:rsidRPr="005E200D">
        <w:rPr>
          <w:b/>
          <w:lang w:eastAsia="ja-JP"/>
        </w:rPr>
        <w:t>ailure</w:t>
      </w:r>
      <w:r>
        <w:rPr>
          <w:b/>
          <w:lang w:eastAsia="ja-JP"/>
        </w:rPr>
        <w:t>, where the solution in 2.1.1 cannot be applied</w:t>
      </w:r>
    </w:p>
    <w:p w14:paraId="367785AC" w14:textId="77777777" w:rsidR="009B18E5" w:rsidRDefault="009B18E5" w:rsidP="009B18E5">
      <w:pPr>
        <w:pStyle w:val="2"/>
      </w:pPr>
      <w:r>
        <w:t xml:space="preserve">Potential </w:t>
      </w:r>
      <w:r>
        <w:rPr>
          <w:rFonts w:hint="eastAsia"/>
        </w:rPr>
        <w:t>S</w:t>
      </w:r>
      <w:r>
        <w:t>olutions</w:t>
      </w:r>
    </w:p>
    <w:p w14:paraId="224FFA8B" w14:textId="77777777" w:rsidR="003542BF" w:rsidRDefault="003542BF" w:rsidP="003542BF">
      <w:pPr>
        <w:rPr>
          <w:lang w:eastAsia="ja-JP"/>
        </w:rPr>
      </w:pPr>
      <w:r>
        <w:rPr>
          <w:lang w:eastAsia="ja-JP"/>
        </w:rPr>
        <w:t>Potential solutions, including those impacting specifications and those relying on implementations are studied in this section.</w:t>
      </w:r>
    </w:p>
    <w:p w14:paraId="714B5EEA" w14:textId="77777777" w:rsidR="003542BF" w:rsidRPr="003542BF" w:rsidRDefault="003542BF" w:rsidP="003542BF">
      <w:pPr>
        <w:rPr>
          <w:u w:val="single"/>
          <w:lang w:eastAsia="ja-JP"/>
        </w:rPr>
      </w:pPr>
      <w:r w:rsidRPr="003542BF">
        <w:rPr>
          <w:rFonts w:hint="eastAsia"/>
          <w:u w:val="single"/>
          <w:lang w:eastAsia="ja-JP"/>
        </w:rPr>
        <w:t>S</w:t>
      </w:r>
      <w:r w:rsidRPr="003542BF">
        <w:rPr>
          <w:u w:val="single"/>
          <w:lang w:eastAsia="ja-JP"/>
        </w:rPr>
        <w:t>olution 1: MN-implementation-based solution in RAN2 #113-e</w:t>
      </w:r>
    </w:p>
    <w:p w14:paraId="73852E97" w14:textId="77777777" w:rsidR="003542BF" w:rsidRDefault="001E13DE" w:rsidP="003542BF">
      <w:pPr>
        <w:rPr>
          <w:lang w:eastAsia="ja-JP"/>
        </w:rPr>
      </w:pPr>
      <w:r>
        <w:rPr>
          <w:lang w:eastAsia="ja-JP"/>
        </w:rPr>
        <w:t>This solution is what we discussed in</w:t>
      </w:r>
      <w:r w:rsidR="00145F04">
        <w:rPr>
          <w:lang w:eastAsia="ja-JP"/>
        </w:rPr>
        <w:t xml:space="preserve"> </w:t>
      </w:r>
      <w:r w:rsidR="00145F04">
        <w:rPr>
          <w:lang w:eastAsia="ja-JP"/>
        </w:rPr>
        <w:fldChar w:fldCharType="begin"/>
      </w:r>
      <w:r w:rsidR="00145F04">
        <w:rPr>
          <w:lang w:eastAsia="ja-JP"/>
        </w:rPr>
        <w:instrText xml:space="preserve"> REF _Ref75540445 \n \h </w:instrText>
      </w:r>
      <w:r w:rsidR="00145F04">
        <w:rPr>
          <w:lang w:eastAsia="ja-JP"/>
        </w:rPr>
      </w:r>
      <w:r w:rsidR="00145F04">
        <w:rPr>
          <w:lang w:eastAsia="ja-JP"/>
        </w:rPr>
        <w:fldChar w:fldCharType="separate"/>
      </w:r>
      <w:r w:rsidR="00145F04">
        <w:rPr>
          <w:lang w:eastAsia="ja-JP"/>
        </w:rPr>
        <w:t>2.1.1</w:t>
      </w:r>
      <w:r w:rsidR="00145F04">
        <w:rPr>
          <w:lang w:eastAsia="ja-JP"/>
        </w:rPr>
        <w:fldChar w:fldCharType="end"/>
      </w:r>
      <w:r>
        <w:rPr>
          <w:lang w:eastAsia="ja-JP"/>
        </w:rPr>
        <w:t xml:space="preserve">. </w:t>
      </w:r>
      <w:r w:rsidR="003542BF">
        <w:rPr>
          <w:rFonts w:hint="eastAsia"/>
          <w:lang w:eastAsia="ja-JP"/>
        </w:rPr>
        <w:t>I</w:t>
      </w:r>
      <w:r w:rsidR="003542BF">
        <w:rPr>
          <w:lang w:eastAsia="ja-JP"/>
        </w:rPr>
        <w:t xml:space="preserve">n this solution, MN does not narrow down the </w:t>
      </w:r>
      <w:r w:rsidR="003542BF" w:rsidRPr="003542BF">
        <w:rPr>
          <w:i/>
          <w:lang w:eastAsia="ja-JP"/>
        </w:rPr>
        <w:t>allowedBC-ListMRDC</w:t>
      </w:r>
      <w:r w:rsidR="003542BF">
        <w:rPr>
          <w:lang w:eastAsia="ja-JP"/>
        </w:rPr>
        <w:t xml:space="preserve"> to prevent the situation where no band combination in </w:t>
      </w:r>
      <w:r w:rsidR="003542BF" w:rsidRPr="003542BF">
        <w:rPr>
          <w:i/>
          <w:lang w:eastAsia="ja-JP"/>
        </w:rPr>
        <w:t xml:space="preserve">allowedBC-ListMRDC </w:t>
      </w:r>
      <w:r w:rsidR="003542BF">
        <w:rPr>
          <w:lang w:eastAsia="ja-JP"/>
        </w:rPr>
        <w:t>is supported be the SN.</w:t>
      </w:r>
      <w:r>
        <w:rPr>
          <w:lang w:eastAsia="ja-JP"/>
        </w:rPr>
        <w:t xml:space="preserve"> </w:t>
      </w:r>
    </w:p>
    <w:p w14:paraId="57595329" w14:textId="77777777" w:rsidR="00454A09" w:rsidRDefault="001E13DE" w:rsidP="00454A09">
      <w:r>
        <w:rPr>
          <w:lang w:eastAsia="ja-JP"/>
        </w:rPr>
        <w:t>As discussed in the previous sections, t</w:t>
      </w:r>
      <w:r w:rsidR="003542BF">
        <w:rPr>
          <w:lang w:eastAsia="ja-JP"/>
        </w:rPr>
        <w:t xml:space="preserve">his solution solves the issue in </w:t>
      </w:r>
      <w:r w:rsidR="003542BF">
        <w:rPr>
          <w:lang w:eastAsia="ja-JP"/>
        </w:rPr>
        <w:fldChar w:fldCharType="begin"/>
      </w:r>
      <w:r w:rsidR="003542BF">
        <w:rPr>
          <w:lang w:eastAsia="ja-JP"/>
        </w:rPr>
        <w:instrText xml:space="preserve"> REF _Ref75540445 \r \h </w:instrText>
      </w:r>
      <w:r w:rsidR="003542BF">
        <w:rPr>
          <w:lang w:eastAsia="ja-JP"/>
        </w:rPr>
      </w:r>
      <w:r w:rsidR="003542BF">
        <w:rPr>
          <w:lang w:eastAsia="ja-JP"/>
        </w:rPr>
        <w:fldChar w:fldCharType="separate"/>
      </w:r>
      <w:r w:rsidR="003542BF">
        <w:rPr>
          <w:lang w:eastAsia="ja-JP"/>
        </w:rPr>
        <w:t>2.1.1</w:t>
      </w:r>
      <w:r w:rsidR="003542BF">
        <w:rPr>
          <w:lang w:eastAsia="ja-JP"/>
        </w:rPr>
        <w:fldChar w:fldCharType="end"/>
      </w:r>
      <w:r>
        <w:rPr>
          <w:lang w:eastAsia="ja-JP"/>
        </w:rPr>
        <w:t>, but</w:t>
      </w:r>
      <w:r w:rsidR="003542BF">
        <w:rPr>
          <w:lang w:eastAsia="ja-JP"/>
        </w:rPr>
        <w:t xml:space="preserve"> </w:t>
      </w:r>
      <w:r w:rsidR="00454A09">
        <w:rPr>
          <w:lang w:eastAsia="ja-JP"/>
        </w:rPr>
        <w:t>does</w:t>
      </w:r>
      <w:r w:rsidR="003542BF">
        <w:rPr>
          <w:lang w:eastAsia="ja-JP"/>
        </w:rPr>
        <w:t xml:space="preserve"> not solve the issue in </w:t>
      </w:r>
      <w:r w:rsidR="003542BF">
        <w:rPr>
          <w:lang w:eastAsia="ja-JP"/>
        </w:rPr>
        <w:fldChar w:fldCharType="begin"/>
      </w:r>
      <w:r w:rsidR="003542BF">
        <w:rPr>
          <w:lang w:eastAsia="ja-JP"/>
        </w:rPr>
        <w:instrText xml:space="preserve"> REF _Ref75540476 \r \h </w:instrText>
      </w:r>
      <w:r w:rsidR="003542BF">
        <w:rPr>
          <w:lang w:eastAsia="ja-JP"/>
        </w:rPr>
      </w:r>
      <w:r w:rsidR="003542BF">
        <w:rPr>
          <w:lang w:eastAsia="ja-JP"/>
        </w:rPr>
        <w:fldChar w:fldCharType="separate"/>
      </w:r>
      <w:r w:rsidR="003542BF">
        <w:rPr>
          <w:lang w:eastAsia="ja-JP"/>
        </w:rPr>
        <w:t>2.1.2</w:t>
      </w:r>
      <w:r w:rsidR="003542BF">
        <w:rPr>
          <w:lang w:eastAsia="ja-JP"/>
        </w:rPr>
        <w:fldChar w:fldCharType="end"/>
      </w:r>
      <w:r w:rsidR="00454A09">
        <w:rPr>
          <w:lang w:eastAsia="ja-JP"/>
        </w:rPr>
        <w:t>.</w:t>
      </w:r>
    </w:p>
    <w:p w14:paraId="18D832EC" w14:textId="77777777" w:rsidR="003542BF" w:rsidRPr="00145F04" w:rsidRDefault="003542BF" w:rsidP="003542BF">
      <w:pPr>
        <w:rPr>
          <w:u w:val="single"/>
          <w:lang w:eastAsia="ja-JP"/>
        </w:rPr>
      </w:pPr>
      <w:r w:rsidRPr="003542BF">
        <w:rPr>
          <w:rFonts w:hint="eastAsia"/>
          <w:u w:val="single"/>
          <w:lang w:eastAsia="ja-JP"/>
        </w:rPr>
        <w:t>S</w:t>
      </w:r>
      <w:r w:rsidRPr="003542BF">
        <w:rPr>
          <w:u w:val="single"/>
          <w:lang w:eastAsia="ja-JP"/>
        </w:rPr>
        <w:t xml:space="preserve">olution 2: MN </w:t>
      </w:r>
      <w:r w:rsidR="00145F04">
        <w:rPr>
          <w:u w:val="single"/>
          <w:lang w:eastAsia="ja-JP"/>
        </w:rPr>
        <w:t>decodes</w:t>
      </w:r>
      <w:r w:rsidRPr="003542BF">
        <w:rPr>
          <w:u w:val="single"/>
          <w:lang w:eastAsia="ja-JP"/>
        </w:rPr>
        <w:t xml:space="preserve"> </w:t>
      </w:r>
      <w:r w:rsidRPr="003542BF">
        <w:rPr>
          <w:i/>
          <w:u w:val="single"/>
          <w:lang w:eastAsia="ja-JP"/>
        </w:rPr>
        <w:t>UE-NR-Capability</w:t>
      </w:r>
      <w:r w:rsidR="00145F04">
        <w:rPr>
          <w:u w:val="single"/>
          <w:lang w:eastAsia="ja-JP"/>
        </w:rPr>
        <w:t xml:space="preserve"> and checks NR bandwidth</w:t>
      </w:r>
    </w:p>
    <w:p w14:paraId="39265835" w14:textId="77777777" w:rsidR="003542BF" w:rsidRDefault="003542BF" w:rsidP="003542BF">
      <w:pPr>
        <w:rPr>
          <w:lang w:eastAsia="ja-JP"/>
        </w:rPr>
      </w:pPr>
      <w:r>
        <w:rPr>
          <w:rFonts w:hint="eastAsia"/>
          <w:lang w:eastAsia="ja-JP"/>
        </w:rPr>
        <w:t>I</w:t>
      </w:r>
      <w:r>
        <w:rPr>
          <w:lang w:eastAsia="ja-JP"/>
        </w:rPr>
        <w:t xml:space="preserve">n this solution, the eNB decodes the OCTET STRING contents to comprehend </w:t>
      </w:r>
      <w:r w:rsidRPr="003542BF">
        <w:rPr>
          <w:i/>
          <w:lang w:eastAsia="ja-JP"/>
        </w:rPr>
        <w:t>UE-NR-Capability</w:t>
      </w:r>
      <w:r>
        <w:rPr>
          <w:lang w:eastAsia="ja-JP"/>
        </w:rPr>
        <w:t xml:space="preserve"> and internally filters out the band combinations </w:t>
      </w:r>
      <w:r w:rsidR="00145F04">
        <w:rPr>
          <w:lang w:eastAsia="ja-JP"/>
        </w:rPr>
        <w:t xml:space="preserve">which are </w:t>
      </w:r>
      <w:r>
        <w:rPr>
          <w:lang w:eastAsia="ja-JP"/>
        </w:rPr>
        <w:t>not supported by the gNB</w:t>
      </w:r>
      <w:r w:rsidR="00145F04">
        <w:rPr>
          <w:lang w:eastAsia="ja-JP"/>
        </w:rPr>
        <w:t>, taking NR bandwidth into account</w:t>
      </w:r>
      <w:r w:rsidR="007C40D1">
        <w:rPr>
          <w:lang w:eastAsia="ja-JP"/>
        </w:rPr>
        <w:t>. Thus the eNB could</w:t>
      </w:r>
      <w:r>
        <w:rPr>
          <w:lang w:eastAsia="ja-JP"/>
        </w:rPr>
        <w:t xml:space="preserve"> decide not to attempt EN-DC setup if there is no band combination supported by the gNB.</w:t>
      </w:r>
    </w:p>
    <w:p w14:paraId="0F12C63E" w14:textId="388DD23A" w:rsidR="003542BF" w:rsidRDefault="003542BF" w:rsidP="003542BF">
      <w:pPr>
        <w:rPr>
          <w:lang w:eastAsia="ja-JP"/>
        </w:rPr>
      </w:pPr>
      <w:r>
        <w:rPr>
          <w:lang w:eastAsia="ja-JP"/>
        </w:rPr>
        <w:t xml:space="preserve">This solution would solve both of the issues in </w:t>
      </w:r>
      <w:r>
        <w:rPr>
          <w:lang w:eastAsia="ja-JP"/>
        </w:rPr>
        <w:fldChar w:fldCharType="begin"/>
      </w:r>
      <w:r>
        <w:rPr>
          <w:lang w:eastAsia="ja-JP"/>
        </w:rPr>
        <w:instrText xml:space="preserve"> REF _Ref75540445 \r \h </w:instrText>
      </w:r>
      <w:r>
        <w:rPr>
          <w:lang w:eastAsia="ja-JP"/>
        </w:rPr>
      </w:r>
      <w:r>
        <w:rPr>
          <w:lang w:eastAsia="ja-JP"/>
        </w:rPr>
        <w:fldChar w:fldCharType="separate"/>
      </w:r>
      <w:r>
        <w:rPr>
          <w:lang w:eastAsia="ja-JP"/>
        </w:rPr>
        <w:t>2.1.1</w:t>
      </w:r>
      <w:r>
        <w:rPr>
          <w:lang w:eastAsia="ja-JP"/>
        </w:rPr>
        <w:fldChar w:fldCharType="end"/>
      </w:r>
      <w:r>
        <w:rPr>
          <w:lang w:eastAsia="ja-JP"/>
        </w:rPr>
        <w:t xml:space="preserve"> and </w:t>
      </w:r>
      <w:r>
        <w:rPr>
          <w:lang w:eastAsia="ja-JP"/>
        </w:rPr>
        <w:fldChar w:fldCharType="begin"/>
      </w:r>
      <w:r>
        <w:rPr>
          <w:lang w:eastAsia="ja-JP"/>
        </w:rPr>
        <w:instrText xml:space="preserve"> REF _Ref75540476 \r \h </w:instrText>
      </w:r>
      <w:r>
        <w:rPr>
          <w:lang w:eastAsia="ja-JP"/>
        </w:rPr>
      </w:r>
      <w:r>
        <w:rPr>
          <w:lang w:eastAsia="ja-JP"/>
        </w:rPr>
        <w:fldChar w:fldCharType="separate"/>
      </w:r>
      <w:r>
        <w:rPr>
          <w:lang w:eastAsia="ja-JP"/>
        </w:rPr>
        <w:t>2.1.2</w:t>
      </w:r>
      <w:r>
        <w:rPr>
          <w:lang w:eastAsia="ja-JP"/>
        </w:rPr>
        <w:fldChar w:fldCharType="end"/>
      </w:r>
      <w:r>
        <w:rPr>
          <w:lang w:eastAsia="ja-JP"/>
        </w:rPr>
        <w:t>. However, it is a</w:t>
      </w:r>
      <w:r w:rsidRPr="003542BF">
        <w:rPr>
          <w:lang w:eastAsia="ja-JP"/>
        </w:rPr>
        <w:t>gainst the original concept</w:t>
      </w:r>
      <w:r>
        <w:rPr>
          <w:lang w:eastAsia="ja-JP"/>
        </w:rPr>
        <w:t xml:space="preserve"> for eNB to be required to </w:t>
      </w:r>
      <w:r w:rsidR="003A516F">
        <w:rPr>
          <w:lang w:eastAsia="ja-JP"/>
        </w:rPr>
        <w:t xml:space="preserve">decode and </w:t>
      </w:r>
      <w:r>
        <w:rPr>
          <w:lang w:eastAsia="ja-JP"/>
        </w:rPr>
        <w:t>comprehend NR-specific UE capabilities</w:t>
      </w:r>
      <w:r w:rsidRPr="003542BF">
        <w:rPr>
          <w:lang w:eastAsia="ja-JP"/>
        </w:rPr>
        <w:t xml:space="preserve">. </w:t>
      </w:r>
      <w:r>
        <w:rPr>
          <w:lang w:eastAsia="ja-JP"/>
        </w:rPr>
        <w:t xml:space="preserve">From deployment and operation point of view, it would </w:t>
      </w:r>
      <w:r w:rsidR="00A80F7C">
        <w:rPr>
          <w:lang w:eastAsia="ja-JP"/>
        </w:rPr>
        <w:t xml:space="preserve">also </w:t>
      </w:r>
      <w:r>
        <w:rPr>
          <w:lang w:eastAsia="ja-JP"/>
        </w:rPr>
        <w:t>prevent</w:t>
      </w:r>
      <w:r w:rsidR="00A80F7C">
        <w:rPr>
          <w:lang w:eastAsia="ja-JP"/>
        </w:rPr>
        <w:t xml:space="preserve"> independent evolution</w:t>
      </w:r>
      <w:r w:rsidR="00EA7BA2">
        <w:rPr>
          <w:lang w:eastAsia="ja-JP"/>
        </w:rPr>
        <w:t>/upgrade</w:t>
      </w:r>
      <w:r>
        <w:rPr>
          <w:lang w:eastAsia="ja-JP"/>
        </w:rPr>
        <w:t xml:space="preserve"> of eNB and gNB. For these reasons this solution would not be suitable.</w:t>
      </w:r>
    </w:p>
    <w:p w14:paraId="5E4BFBF5" w14:textId="77777777" w:rsidR="003542BF" w:rsidRPr="003542BF" w:rsidRDefault="003542BF" w:rsidP="003542BF">
      <w:pPr>
        <w:rPr>
          <w:u w:val="single"/>
          <w:lang w:eastAsia="ja-JP"/>
        </w:rPr>
      </w:pPr>
      <w:r w:rsidRPr="003542BF">
        <w:rPr>
          <w:rFonts w:hint="eastAsia"/>
          <w:u w:val="single"/>
          <w:lang w:eastAsia="ja-JP"/>
        </w:rPr>
        <w:t>S</w:t>
      </w:r>
      <w:r w:rsidRPr="003542BF">
        <w:rPr>
          <w:u w:val="single"/>
          <w:lang w:eastAsia="ja-JP"/>
        </w:rPr>
        <w:t xml:space="preserve">olution 3: UE reports only the BCs supported by the </w:t>
      </w:r>
      <w:r w:rsidR="00AE423A">
        <w:rPr>
          <w:u w:val="single"/>
          <w:lang w:eastAsia="ja-JP"/>
        </w:rPr>
        <w:t>S</w:t>
      </w:r>
      <w:r>
        <w:rPr>
          <w:u w:val="single"/>
          <w:lang w:eastAsia="ja-JP"/>
        </w:rPr>
        <w:t>N</w:t>
      </w:r>
    </w:p>
    <w:p w14:paraId="37707512" w14:textId="13D86A83" w:rsidR="007249C7" w:rsidRDefault="003542BF" w:rsidP="007249C7">
      <w:pPr>
        <w:rPr>
          <w:lang w:eastAsia="ja-JP"/>
        </w:rPr>
      </w:pPr>
      <w:r>
        <w:rPr>
          <w:lang w:eastAsia="ja-JP"/>
        </w:rPr>
        <w:t xml:space="preserve">In this solution, current UE capability enquiry signalling is enhanced so that the </w:t>
      </w:r>
      <w:r w:rsidR="00D270F2">
        <w:rPr>
          <w:lang w:eastAsia="ja-JP"/>
        </w:rPr>
        <w:t>eNB</w:t>
      </w:r>
      <w:r>
        <w:rPr>
          <w:lang w:eastAsia="ja-JP"/>
        </w:rPr>
        <w:t xml:space="preserve"> can </w:t>
      </w:r>
      <w:r w:rsidR="00B0324F">
        <w:rPr>
          <w:lang w:eastAsia="ja-JP"/>
        </w:rPr>
        <w:t>provide</w:t>
      </w:r>
      <w:r>
        <w:rPr>
          <w:lang w:eastAsia="ja-JP"/>
        </w:rPr>
        <w:t xml:space="preserve"> the UE</w:t>
      </w:r>
      <w:r w:rsidR="00B0324F">
        <w:rPr>
          <w:lang w:eastAsia="ja-JP"/>
        </w:rPr>
        <w:t xml:space="preserve"> with</w:t>
      </w:r>
      <w:r>
        <w:rPr>
          <w:lang w:eastAsia="ja-JP"/>
        </w:rPr>
        <w:t xml:space="preserve"> </w:t>
      </w:r>
      <w:r w:rsidR="00D270F2">
        <w:rPr>
          <w:lang w:eastAsia="ja-JP"/>
        </w:rPr>
        <w:t>additional filtering parameters regarding bandwidth.</w:t>
      </w:r>
      <w:r w:rsidR="00AE423A">
        <w:rPr>
          <w:lang w:eastAsia="ja-JP"/>
        </w:rPr>
        <w:t xml:space="preserve"> According to the signalling, the UE reports only the band combinations </w:t>
      </w:r>
      <w:r w:rsidR="00E73C8C">
        <w:rPr>
          <w:lang w:eastAsia="ja-JP"/>
        </w:rPr>
        <w:t xml:space="preserve">with bandwidth </w:t>
      </w:r>
      <w:r w:rsidR="00AE423A">
        <w:rPr>
          <w:lang w:eastAsia="ja-JP"/>
        </w:rPr>
        <w:t>supported by the gNB.</w:t>
      </w:r>
      <w:r w:rsidR="00E73C8C">
        <w:rPr>
          <w:lang w:eastAsia="ja-JP"/>
        </w:rPr>
        <w:t xml:space="preserve"> </w:t>
      </w:r>
      <w:r w:rsidR="007249C7">
        <w:rPr>
          <w:lang w:eastAsia="ja-JP"/>
        </w:rPr>
        <w:t xml:space="preserve">The additional parameters should be, for example, </w:t>
      </w:r>
      <w:r w:rsidR="007249C7">
        <w:rPr>
          <w:rFonts w:hint="eastAsia"/>
          <w:lang w:eastAsia="ja-JP"/>
        </w:rPr>
        <w:t>l</w:t>
      </w:r>
      <w:r w:rsidR="007249C7">
        <w:rPr>
          <w:lang w:eastAsia="ja-JP"/>
        </w:rPr>
        <w:t>ist of channel bandwidths</w:t>
      </w:r>
      <w:r w:rsidR="004232A6">
        <w:rPr>
          <w:lang w:eastAsia="ja-JP"/>
        </w:rPr>
        <w:t xml:space="preserve"> that should be supported </w:t>
      </w:r>
      <w:r w:rsidR="008E75F7">
        <w:rPr>
          <w:lang w:eastAsia="ja-JP"/>
        </w:rPr>
        <w:t xml:space="preserve">for each band </w:t>
      </w:r>
      <w:r w:rsidR="004232A6">
        <w:rPr>
          <w:lang w:eastAsia="ja-JP"/>
        </w:rPr>
        <w:t>in the reported BCs</w:t>
      </w:r>
      <w:r w:rsidR="007249C7">
        <w:rPr>
          <w:lang w:eastAsia="ja-JP"/>
        </w:rPr>
        <w:t>, etc.</w:t>
      </w:r>
    </w:p>
    <w:p w14:paraId="4142F396" w14:textId="77777777" w:rsidR="003542BF" w:rsidRDefault="00D270F2" w:rsidP="003542BF">
      <w:pPr>
        <w:rPr>
          <w:lang w:eastAsia="ja-JP"/>
        </w:rPr>
      </w:pPr>
      <w:r>
        <w:rPr>
          <w:lang w:eastAsia="ja-JP"/>
        </w:rPr>
        <w:t>In Release 15, the eNB</w:t>
      </w:r>
      <w:r w:rsidR="00AE423A">
        <w:rPr>
          <w:lang w:eastAsia="ja-JP"/>
        </w:rPr>
        <w:t xml:space="preserve"> can </w:t>
      </w:r>
      <w:r>
        <w:rPr>
          <w:lang w:eastAsia="ja-JP"/>
        </w:rPr>
        <w:t xml:space="preserve">signal </w:t>
      </w:r>
      <w:r w:rsidR="00AE423A">
        <w:rPr>
          <w:lang w:eastAsia="ja-JP"/>
        </w:rPr>
        <w:t>maximum bandwidth</w:t>
      </w:r>
      <w:r w:rsidR="003542BF">
        <w:rPr>
          <w:lang w:eastAsia="ja-JP"/>
        </w:rPr>
        <w:t xml:space="preserve"> and </w:t>
      </w:r>
      <w:r w:rsidR="00AE423A">
        <w:rPr>
          <w:lang w:eastAsia="ja-JP"/>
        </w:rPr>
        <w:t xml:space="preserve">maximum number of </w:t>
      </w:r>
      <w:r w:rsidR="003542BF">
        <w:rPr>
          <w:lang w:eastAsia="ja-JP"/>
        </w:rPr>
        <w:t xml:space="preserve">CCs </w:t>
      </w:r>
      <w:r w:rsidR="00AE423A">
        <w:rPr>
          <w:lang w:eastAsia="ja-JP"/>
        </w:rPr>
        <w:t xml:space="preserve">for each NR band </w:t>
      </w:r>
      <w:r w:rsidR="00F526F9">
        <w:rPr>
          <w:lang w:eastAsia="ja-JP"/>
        </w:rPr>
        <w:t xml:space="preserve">for signalling reduction </w:t>
      </w:r>
      <w:r w:rsidR="00AE423A">
        <w:rPr>
          <w:lang w:eastAsia="ja-JP"/>
        </w:rPr>
        <w:t>as</w:t>
      </w:r>
      <w:r w:rsidR="003542BF">
        <w:rPr>
          <w:lang w:eastAsia="ja-JP"/>
        </w:rPr>
        <w:t xml:space="preserve"> </w:t>
      </w:r>
      <w:r w:rsidR="00AE423A">
        <w:rPr>
          <w:lang w:eastAsia="ja-JP"/>
        </w:rPr>
        <w:t>discussed</w:t>
      </w:r>
      <w:r w:rsidR="003542BF">
        <w:rPr>
          <w:lang w:eastAsia="ja-JP"/>
        </w:rPr>
        <w:t xml:space="preserve"> in </w:t>
      </w:r>
      <w:r w:rsidR="003542BF" w:rsidRPr="003542BF">
        <w:rPr>
          <w:lang w:eastAsia="ja-JP"/>
        </w:rPr>
        <w:t>R2-1807383</w:t>
      </w:r>
      <w:sdt>
        <w:sdtPr>
          <w:rPr>
            <w:lang w:eastAsia="ja-JP"/>
          </w:rPr>
          <w:id w:val="2030217358"/>
          <w:citation/>
        </w:sdtPr>
        <w:sdtEndPr/>
        <w:sdtContent>
          <w:r w:rsidR="00AE423A">
            <w:rPr>
              <w:lang w:eastAsia="ja-JP"/>
            </w:rPr>
            <w:fldChar w:fldCharType="begin"/>
          </w:r>
          <w:r w:rsidR="00AE423A">
            <w:rPr>
              <w:lang w:eastAsia="ja-JP"/>
            </w:rPr>
            <w:instrText xml:space="preserve"> </w:instrText>
          </w:r>
          <w:r w:rsidR="00AE423A">
            <w:rPr>
              <w:rFonts w:hint="eastAsia"/>
              <w:lang w:eastAsia="ja-JP"/>
            </w:rPr>
            <w:instrText>CITATION 2 \l 1041</w:instrText>
          </w:r>
          <w:r w:rsidR="00AE423A">
            <w:rPr>
              <w:lang w:eastAsia="ja-JP"/>
            </w:rPr>
            <w:instrText xml:space="preserve"> </w:instrText>
          </w:r>
          <w:r w:rsidR="00AE423A">
            <w:rPr>
              <w:lang w:eastAsia="ja-JP"/>
            </w:rPr>
            <w:fldChar w:fldCharType="separate"/>
          </w:r>
          <w:r w:rsidR="000A41C1">
            <w:rPr>
              <w:rFonts w:hint="eastAsia"/>
              <w:noProof/>
              <w:lang w:eastAsia="ja-JP"/>
            </w:rPr>
            <w:t xml:space="preserve"> [2]</w:t>
          </w:r>
          <w:r w:rsidR="00AE423A">
            <w:rPr>
              <w:lang w:eastAsia="ja-JP"/>
            </w:rPr>
            <w:fldChar w:fldCharType="end"/>
          </w:r>
        </w:sdtContent>
      </w:sdt>
      <w:r w:rsidR="003542BF">
        <w:rPr>
          <w:lang w:eastAsia="ja-JP"/>
        </w:rPr>
        <w:t>.</w:t>
      </w:r>
      <w:r w:rsidR="00AE423A">
        <w:rPr>
          <w:lang w:eastAsia="ja-JP"/>
        </w:rPr>
        <w:t xml:space="preserve"> </w:t>
      </w:r>
      <w:r w:rsidR="00F526F9">
        <w:rPr>
          <w:lang w:eastAsia="ja-JP"/>
        </w:rPr>
        <w:t>Since t</w:t>
      </w:r>
      <w:r w:rsidR="00AE423A">
        <w:rPr>
          <w:lang w:eastAsia="ja-JP"/>
        </w:rPr>
        <w:t xml:space="preserve">his solution is to enhance the signalling to include </w:t>
      </w:r>
      <w:r>
        <w:rPr>
          <w:lang w:eastAsia="ja-JP"/>
        </w:rPr>
        <w:t xml:space="preserve">additional </w:t>
      </w:r>
      <w:r w:rsidR="00AE423A">
        <w:rPr>
          <w:lang w:eastAsia="ja-JP"/>
        </w:rPr>
        <w:t>bandwidt</w:t>
      </w:r>
      <w:r w:rsidR="00F526F9">
        <w:rPr>
          <w:lang w:eastAsia="ja-JP"/>
        </w:rPr>
        <w:t>h</w:t>
      </w:r>
      <w:r>
        <w:rPr>
          <w:lang w:eastAsia="ja-JP"/>
        </w:rPr>
        <w:t xml:space="preserve"> parameters</w:t>
      </w:r>
      <w:r w:rsidR="00F526F9">
        <w:rPr>
          <w:lang w:eastAsia="ja-JP"/>
        </w:rPr>
        <w:t>, it also helps reduce the UE capability signalling size.</w:t>
      </w:r>
    </w:p>
    <w:p w14:paraId="408792CA" w14:textId="77777777" w:rsidR="003542BF" w:rsidRDefault="00AE423A" w:rsidP="003542BF">
      <w:pPr>
        <w:rPr>
          <w:lang w:eastAsia="ja-JP"/>
        </w:rPr>
      </w:pPr>
      <w:r>
        <w:rPr>
          <w:lang w:eastAsia="ja-JP"/>
        </w:rPr>
        <w:t xml:space="preserve">With this solution, as the UE no longer reports the band combinations not supported by the SN, both of the issues in </w:t>
      </w:r>
      <w:r>
        <w:rPr>
          <w:lang w:eastAsia="ja-JP"/>
        </w:rPr>
        <w:fldChar w:fldCharType="begin"/>
      </w:r>
      <w:r>
        <w:rPr>
          <w:lang w:eastAsia="ja-JP"/>
        </w:rPr>
        <w:instrText xml:space="preserve"> REF _Ref75540445 \r \h </w:instrText>
      </w:r>
      <w:r>
        <w:rPr>
          <w:lang w:eastAsia="ja-JP"/>
        </w:rPr>
      </w:r>
      <w:r>
        <w:rPr>
          <w:lang w:eastAsia="ja-JP"/>
        </w:rPr>
        <w:fldChar w:fldCharType="separate"/>
      </w:r>
      <w:r>
        <w:rPr>
          <w:lang w:eastAsia="ja-JP"/>
        </w:rPr>
        <w:t>2.1.1</w:t>
      </w:r>
      <w:r>
        <w:rPr>
          <w:lang w:eastAsia="ja-JP"/>
        </w:rPr>
        <w:fldChar w:fldCharType="end"/>
      </w:r>
      <w:r>
        <w:rPr>
          <w:lang w:eastAsia="ja-JP"/>
        </w:rPr>
        <w:t xml:space="preserve"> and </w:t>
      </w:r>
      <w:r>
        <w:rPr>
          <w:lang w:eastAsia="ja-JP"/>
        </w:rPr>
        <w:fldChar w:fldCharType="begin"/>
      </w:r>
      <w:r>
        <w:rPr>
          <w:lang w:eastAsia="ja-JP"/>
        </w:rPr>
        <w:instrText xml:space="preserve"> REF _Ref75540476 \r \h </w:instrText>
      </w:r>
      <w:r>
        <w:rPr>
          <w:lang w:eastAsia="ja-JP"/>
        </w:rPr>
      </w:r>
      <w:r>
        <w:rPr>
          <w:lang w:eastAsia="ja-JP"/>
        </w:rPr>
        <w:fldChar w:fldCharType="separate"/>
      </w:r>
      <w:r>
        <w:rPr>
          <w:lang w:eastAsia="ja-JP"/>
        </w:rPr>
        <w:t>2.1.2</w:t>
      </w:r>
      <w:r>
        <w:rPr>
          <w:lang w:eastAsia="ja-JP"/>
        </w:rPr>
        <w:fldChar w:fldCharType="end"/>
      </w:r>
      <w:r>
        <w:rPr>
          <w:lang w:eastAsia="ja-JP"/>
        </w:rPr>
        <w:t xml:space="preserve"> are solved.</w:t>
      </w:r>
    </w:p>
    <w:p w14:paraId="2C172C4C" w14:textId="77777777" w:rsidR="003542BF" w:rsidRDefault="003542BF" w:rsidP="003542BF">
      <w:pPr>
        <w:rPr>
          <w:lang w:eastAsia="ja-JP"/>
        </w:rPr>
      </w:pPr>
    </w:p>
    <w:p w14:paraId="100B1C14" w14:textId="77777777" w:rsidR="00454A09" w:rsidRPr="003542BF" w:rsidRDefault="00454A09" w:rsidP="003542BF">
      <w:pPr>
        <w:rPr>
          <w:lang w:eastAsia="ja-JP"/>
        </w:rPr>
      </w:pPr>
      <w:r>
        <w:rPr>
          <w:lang w:eastAsia="ja-JP"/>
        </w:rPr>
        <w:t xml:space="preserve">Based on the above analysis, it is proposed to </w:t>
      </w:r>
      <w:r w:rsidR="00145F04">
        <w:rPr>
          <w:lang w:eastAsia="ja-JP"/>
        </w:rPr>
        <w:t>go for</w:t>
      </w:r>
      <w:r w:rsidR="00D270F2">
        <w:rPr>
          <w:lang w:eastAsia="ja-JP"/>
        </w:rPr>
        <w:t xml:space="preserve"> Solution 3, which can solve both issues and aligns with original concept of </w:t>
      </w:r>
      <w:r w:rsidR="00D270F2" w:rsidRPr="00D270F2">
        <w:rPr>
          <w:i/>
          <w:lang w:eastAsia="ja-JP"/>
        </w:rPr>
        <w:t>UE-NR-Capability</w:t>
      </w:r>
      <w:r w:rsidR="00D270F2">
        <w:rPr>
          <w:lang w:eastAsia="ja-JP"/>
        </w:rPr>
        <w:t xml:space="preserve"> transparent container.</w:t>
      </w:r>
    </w:p>
    <w:p w14:paraId="1540F526" w14:textId="23AB9BC1" w:rsidR="009B18E5" w:rsidRPr="000D09DB" w:rsidRDefault="000D09DB" w:rsidP="000D09DB">
      <w:pPr>
        <w:rPr>
          <w:b/>
        </w:rPr>
      </w:pPr>
      <w:r>
        <w:rPr>
          <w:b/>
        </w:rPr>
        <w:lastRenderedPageBreak/>
        <w:t xml:space="preserve">Proposal 1: </w:t>
      </w:r>
      <w:r w:rsidR="009B18E5" w:rsidRPr="000D09DB">
        <w:rPr>
          <w:b/>
        </w:rPr>
        <w:t xml:space="preserve">RAN2 to support NR UE capability filtering by </w:t>
      </w:r>
      <w:r w:rsidR="00D270F2" w:rsidRPr="000D09DB">
        <w:rPr>
          <w:b/>
        </w:rPr>
        <w:t>additional NR</w:t>
      </w:r>
      <w:r w:rsidR="00454A09" w:rsidRPr="000D09DB">
        <w:rPr>
          <w:b/>
        </w:rPr>
        <w:t xml:space="preserve"> bandwidth</w:t>
      </w:r>
      <w:r w:rsidR="00D270F2" w:rsidRPr="000D09DB">
        <w:rPr>
          <w:b/>
        </w:rPr>
        <w:t xml:space="preserve"> parameters, e.g. list of </w:t>
      </w:r>
      <w:r w:rsidR="004016A4">
        <w:rPr>
          <w:b/>
        </w:rPr>
        <w:t xml:space="preserve">channel </w:t>
      </w:r>
      <w:r w:rsidR="00D270F2" w:rsidRPr="000D09DB">
        <w:rPr>
          <w:b/>
        </w:rPr>
        <w:t>bandwidths</w:t>
      </w:r>
      <w:r w:rsidR="004016A4">
        <w:rPr>
          <w:b/>
        </w:rPr>
        <w:t xml:space="preserve"> that should be supported for each band in the reported band combinations</w:t>
      </w:r>
      <w:r w:rsidR="00454A09" w:rsidRPr="000D09DB">
        <w:rPr>
          <w:b/>
        </w:rPr>
        <w:t>.</w:t>
      </w:r>
    </w:p>
    <w:p w14:paraId="78096A06" w14:textId="77777777" w:rsidR="007838C1" w:rsidRPr="007838C1" w:rsidRDefault="007838C1" w:rsidP="007838C1">
      <w:pPr>
        <w:rPr>
          <w:lang w:eastAsia="ja-JP"/>
        </w:rPr>
      </w:pPr>
      <w:r>
        <w:rPr>
          <w:rFonts w:hint="eastAsia"/>
          <w:lang w:eastAsia="ja-JP"/>
        </w:rPr>
        <w:t>A</w:t>
      </w:r>
      <w:r>
        <w:rPr>
          <w:lang w:eastAsia="ja-JP"/>
        </w:rPr>
        <w:t xml:space="preserve">dditionally, the </w:t>
      </w:r>
      <w:r w:rsidR="00454A09">
        <w:rPr>
          <w:lang w:eastAsia="ja-JP"/>
        </w:rPr>
        <w:t>issues</w:t>
      </w:r>
      <w:r>
        <w:rPr>
          <w:lang w:eastAsia="ja-JP"/>
        </w:rPr>
        <w:t xml:space="preserve"> discussed in this paper can also occur if the subcarrier spacing supported by UE and gNB does not match. Therefore it would be beneficial to apply the same filtering solution for subcarrier spacing.</w:t>
      </w:r>
      <w:r w:rsidR="00D270F2">
        <w:rPr>
          <w:lang w:eastAsia="ja-JP"/>
        </w:rPr>
        <w:t xml:space="preserve"> This also aligns with the bandwidth table in TS 38.101-1, where bandwidths are defined for each SCS value.</w:t>
      </w:r>
    </w:p>
    <w:p w14:paraId="1C35635D" w14:textId="77777777" w:rsidR="009B18E5" w:rsidRPr="000D09DB" w:rsidRDefault="000D09DB" w:rsidP="000D09DB">
      <w:pPr>
        <w:rPr>
          <w:b/>
        </w:rPr>
      </w:pPr>
      <w:r>
        <w:rPr>
          <w:b/>
        </w:rPr>
        <w:t xml:space="preserve">Proposal 2: </w:t>
      </w:r>
      <w:r w:rsidR="009B18E5" w:rsidRPr="000D09DB">
        <w:rPr>
          <w:b/>
        </w:rPr>
        <w:t>RAN2 to support NR UE capability filtering by subcarrier spacing.</w:t>
      </w:r>
    </w:p>
    <w:p w14:paraId="4731B1F0" w14:textId="77777777" w:rsidR="00401252" w:rsidRDefault="00EA2761" w:rsidP="00E82B46">
      <w:pPr>
        <w:pStyle w:val="1"/>
      </w:pPr>
      <w:r>
        <w:rPr>
          <w:rFonts w:hint="eastAsia"/>
        </w:rPr>
        <w:t>S</w:t>
      </w:r>
      <w:r>
        <w:t>ummary and Proposal</w:t>
      </w:r>
    </w:p>
    <w:p w14:paraId="3E00DD9E" w14:textId="77777777" w:rsidR="00A9123D" w:rsidRPr="000D09DB" w:rsidRDefault="00A9123D" w:rsidP="00A9123D">
      <w:pPr>
        <w:rPr>
          <w:b/>
        </w:rPr>
      </w:pPr>
      <w:r>
        <w:rPr>
          <w:b/>
        </w:rPr>
        <w:t xml:space="preserve">Observation 1: </w:t>
      </w:r>
      <w:r w:rsidRPr="000D09DB">
        <w:rPr>
          <w:rFonts w:hint="eastAsia"/>
          <w:b/>
        </w:rPr>
        <w:t>E</w:t>
      </w:r>
      <w:r w:rsidRPr="000D09DB">
        <w:rPr>
          <w:b/>
        </w:rPr>
        <w:t>N-DC setup fails in the case where:</w:t>
      </w:r>
    </w:p>
    <w:p w14:paraId="4242C141" w14:textId="77777777" w:rsidR="00A9123D" w:rsidRPr="005E200D" w:rsidRDefault="00A9123D" w:rsidP="00A9123D">
      <w:pPr>
        <w:pStyle w:val="Observation"/>
        <w:numPr>
          <w:ilvl w:val="0"/>
          <w:numId w:val="17"/>
        </w:numPr>
        <w:rPr>
          <w:lang w:eastAsia="en-GB"/>
        </w:rPr>
      </w:pPr>
      <w:r w:rsidRPr="005E200D">
        <w:t>gNB support</w:t>
      </w:r>
      <w:r>
        <w:t>s</w:t>
      </w:r>
      <w:r w:rsidRPr="005E200D">
        <w:t xml:space="preserve"> only a certain value</w:t>
      </w:r>
      <w:r>
        <w:t xml:space="preserve"> (or limited values)</w:t>
      </w:r>
      <w:r w:rsidRPr="005E200D">
        <w:t xml:space="preserve"> of bandwidth, e.g. 100MHz</w:t>
      </w:r>
      <w:r>
        <w:t>, for a CC in a certain band; and</w:t>
      </w:r>
    </w:p>
    <w:p w14:paraId="15FC9FB3" w14:textId="77777777" w:rsidR="00A9123D" w:rsidRPr="005E200D" w:rsidRDefault="00A9123D" w:rsidP="00A9123D">
      <w:pPr>
        <w:pStyle w:val="Observation"/>
        <w:numPr>
          <w:ilvl w:val="0"/>
          <w:numId w:val="17"/>
        </w:numPr>
        <w:rPr>
          <w:lang w:eastAsia="en-GB"/>
        </w:rPr>
      </w:pPr>
      <w:r w:rsidRPr="005E200D">
        <w:rPr>
          <w:rFonts w:hint="eastAsia"/>
        </w:rPr>
        <w:t>U</w:t>
      </w:r>
      <w:r w:rsidRPr="005E200D">
        <w:t>E support</w:t>
      </w:r>
      <w:r>
        <w:t>s</w:t>
      </w:r>
      <w:r w:rsidRPr="005E200D">
        <w:t xml:space="preserve"> the band above, but</w:t>
      </w:r>
      <w:r>
        <w:t xml:space="preserve"> some band combination(s) in the UE capability</w:t>
      </w:r>
      <w:r w:rsidRPr="005E200D">
        <w:t xml:space="preserve"> </w:t>
      </w:r>
      <w:r>
        <w:t xml:space="preserve">does </w:t>
      </w:r>
      <w:r w:rsidRPr="005E200D">
        <w:t>not support the above bandwidth</w:t>
      </w:r>
      <w:r>
        <w:t xml:space="preserve"> of the band</w:t>
      </w:r>
      <w:r w:rsidRPr="005E200D">
        <w:t xml:space="preserve"> </w:t>
      </w:r>
      <w:r>
        <w:t>(</w:t>
      </w:r>
      <w:r w:rsidRPr="005E200D">
        <w:t>e</w:t>
      </w:r>
      <w:r>
        <w:t>.g. max 40MHz is supported); and</w:t>
      </w:r>
    </w:p>
    <w:p w14:paraId="58842525" w14:textId="4F2213BA" w:rsidR="00EA2761" w:rsidRDefault="00A9123D" w:rsidP="00EA2761">
      <w:pPr>
        <w:pStyle w:val="Observation"/>
        <w:numPr>
          <w:ilvl w:val="0"/>
          <w:numId w:val="17"/>
        </w:numPr>
        <w:rPr>
          <w:lang w:eastAsia="en-GB"/>
        </w:rPr>
      </w:pPr>
      <w:r w:rsidRPr="005E200D">
        <w:rPr>
          <w:i/>
        </w:rPr>
        <w:t>allowedBC-ListMRDC</w:t>
      </w:r>
      <w:r w:rsidRPr="005E200D">
        <w:t xml:space="preserve"> sent from eNB </w:t>
      </w:r>
      <w:r>
        <w:t>to gNB contains only such band combination(s) that supported bandwidth of a band in the band combination does not match between gNB (e.g. 100MHz) and UE (e.g. 40MHz).</w:t>
      </w:r>
    </w:p>
    <w:p w14:paraId="10697AE0" w14:textId="77777777" w:rsidR="00A9123D" w:rsidRPr="000D09DB" w:rsidRDefault="00A9123D" w:rsidP="00A9123D">
      <w:pPr>
        <w:rPr>
          <w:b/>
        </w:rPr>
      </w:pPr>
      <w:r>
        <w:rPr>
          <w:b/>
        </w:rPr>
        <w:t xml:space="preserve">Observation 2: </w:t>
      </w:r>
      <w:r w:rsidRPr="000D09DB">
        <w:rPr>
          <w:rFonts w:hint="eastAsia"/>
          <w:b/>
        </w:rPr>
        <w:t>T</w:t>
      </w:r>
      <w:r w:rsidRPr="000D09DB">
        <w:rPr>
          <w:b/>
        </w:rPr>
        <w:t>he solution in RAN2 #113-e based on eNB implementation is valid only under the condition that at least one BC in the UE capability matches the bandwidth supported by the gNB.</w:t>
      </w:r>
    </w:p>
    <w:p w14:paraId="792EA472" w14:textId="77777777" w:rsidR="00A9123D" w:rsidRPr="000D09DB" w:rsidRDefault="00A9123D" w:rsidP="00A9123D">
      <w:pPr>
        <w:rPr>
          <w:b/>
        </w:rPr>
      </w:pPr>
      <w:r>
        <w:rPr>
          <w:b/>
        </w:rPr>
        <w:t xml:space="preserve">Observation 3: </w:t>
      </w:r>
      <w:r w:rsidRPr="000D09DB">
        <w:rPr>
          <w:rFonts w:hint="eastAsia"/>
          <w:b/>
        </w:rPr>
        <w:t>M</w:t>
      </w:r>
      <w:r w:rsidRPr="000D09DB">
        <w:rPr>
          <w:b/>
        </w:rPr>
        <w:t>andatory support for bandwidths in TS 38.101-1 applies only for a single CC case. For EN-DC, as multiple CCs are always used, there is no mandatory bandwidths specified for FR1.</w:t>
      </w:r>
    </w:p>
    <w:p w14:paraId="5BA99251" w14:textId="77777777" w:rsidR="00A9123D" w:rsidRPr="000D09DB" w:rsidRDefault="00A9123D" w:rsidP="00A9123D">
      <w:pPr>
        <w:rPr>
          <w:b/>
        </w:rPr>
      </w:pPr>
      <w:r w:rsidRPr="000D09DB">
        <w:rPr>
          <w:b/>
        </w:rPr>
        <w:t xml:space="preserve">Observation 4: </w:t>
      </w:r>
      <w:r w:rsidRPr="000D09DB">
        <w:rPr>
          <w:rFonts w:hint="eastAsia"/>
          <w:b/>
        </w:rPr>
        <w:t>T</w:t>
      </w:r>
      <w:r w:rsidRPr="000D09DB">
        <w:rPr>
          <w:b/>
        </w:rPr>
        <w:t>he solution in RAN2 #113-e based on eNB implementation cannot prevent EN-DC setup failure in circumstances where UE only supports limited bandwidth in a certain NR band irrespective of LTE band combinations.</w:t>
      </w:r>
    </w:p>
    <w:p w14:paraId="3FFFA95E" w14:textId="408F1ADC" w:rsidR="00A9123D" w:rsidRPr="000D09DB" w:rsidRDefault="00A9123D" w:rsidP="00A9123D">
      <w:pPr>
        <w:rPr>
          <w:b/>
        </w:rPr>
      </w:pPr>
      <w:r>
        <w:rPr>
          <w:b/>
        </w:rPr>
        <w:t xml:space="preserve">Proposal 1: </w:t>
      </w:r>
      <w:r w:rsidRPr="000D09DB">
        <w:rPr>
          <w:b/>
        </w:rPr>
        <w:t xml:space="preserve">RAN2 to support NR UE capability filtering by additional NR bandwidth parameters, e.g. list of </w:t>
      </w:r>
      <w:r w:rsidR="0007568F">
        <w:rPr>
          <w:b/>
        </w:rPr>
        <w:t xml:space="preserve">channel </w:t>
      </w:r>
      <w:r w:rsidRPr="000D09DB">
        <w:rPr>
          <w:b/>
        </w:rPr>
        <w:t>bandwidths</w:t>
      </w:r>
      <w:r w:rsidR="0007568F">
        <w:rPr>
          <w:b/>
        </w:rPr>
        <w:t xml:space="preserve"> that should be supported for each band in the reported band combinations</w:t>
      </w:r>
      <w:r w:rsidRPr="000D09DB">
        <w:rPr>
          <w:b/>
        </w:rPr>
        <w:t>.</w:t>
      </w:r>
    </w:p>
    <w:p w14:paraId="3CAB3DAA" w14:textId="23D942AD" w:rsidR="00A9123D" w:rsidRPr="00A9123D" w:rsidRDefault="00A9123D" w:rsidP="00EA2761">
      <w:pPr>
        <w:rPr>
          <w:b/>
        </w:rPr>
      </w:pPr>
      <w:r>
        <w:rPr>
          <w:b/>
        </w:rPr>
        <w:t xml:space="preserve">Proposal 2: </w:t>
      </w:r>
      <w:r w:rsidRPr="000D09DB">
        <w:rPr>
          <w:b/>
        </w:rPr>
        <w:t>RAN2 to support NR UE capability filtering by subcarrier spacing.</w:t>
      </w:r>
    </w:p>
    <w:p w14:paraId="6091D7ED" w14:textId="77777777" w:rsidR="00EA2761" w:rsidRDefault="00EA2761" w:rsidP="00E82B46">
      <w:pPr>
        <w:pStyle w:val="1"/>
      </w:pPr>
      <w:r>
        <w:t>References</w:t>
      </w:r>
    </w:p>
    <w:p w14:paraId="561596FB" w14:textId="77777777" w:rsidR="00AE423A" w:rsidRDefault="00776E36" w:rsidP="00EA2761">
      <w:pPr>
        <w:rPr>
          <w:lang w:eastAsia="ja-JP"/>
        </w:rPr>
      </w:pPr>
      <w:sdt>
        <w:sdtPr>
          <w:rPr>
            <w:lang w:eastAsia="ja-JP"/>
          </w:rPr>
          <w:id w:val="-1316867426"/>
          <w:citation/>
        </w:sdtPr>
        <w:sdtEndPr/>
        <w:sdtContent>
          <w:r w:rsidR="005E200D">
            <w:rPr>
              <w:lang w:eastAsia="ja-JP"/>
            </w:rPr>
            <w:fldChar w:fldCharType="begin"/>
          </w:r>
          <w:r w:rsidR="005E200D">
            <w:rPr>
              <w:lang w:eastAsia="ja-JP"/>
            </w:rPr>
            <w:instrText xml:space="preserve"> </w:instrText>
          </w:r>
          <w:r w:rsidR="005E200D">
            <w:rPr>
              <w:rFonts w:hint="eastAsia"/>
              <w:lang w:eastAsia="ja-JP"/>
            </w:rPr>
            <w:instrText>CITATION 1 \l 1041</w:instrText>
          </w:r>
          <w:r w:rsidR="005E200D">
            <w:rPr>
              <w:lang w:eastAsia="ja-JP"/>
            </w:rPr>
            <w:instrText xml:space="preserve"> </w:instrText>
          </w:r>
          <w:r w:rsidR="005E200D">
            <w:rPr>
              <w:lang w:eastAsia="ja-JP"/>
            </w:rPr>
            <w:fldChar w:fldCharType="separate"/>
          </w:r>
          <w:r w:rsidR="000A41C1">
            <w:rPr>
              <w:rFonts w:hint="eastAsia"/>
              <w:noProof/>
              <w:lang w:eastAsia="ja-JP"/>
            </w:rPr>
            <w:t>[1]</w:t>
          </w:r>
          <w:r w:rsidR="005E200D">
            <w:rPr>
              <w:lang w:eastAsia="ja-JP"/>
            </w:rPr>
            <w:fldChar w:fldCharType="end"/>
          </w:r>
        </w:sdtContent>
      </w:sdt>
      <w:r w:rsidR="005E200D">
        <w:rPr>
          <w:lang w:eastAsia="ja-JP"/>
        </w:rPr>
        <w:t xml:space="preserve"> R2-2100772, </w:t>
      </w:r>
      <w:r w:rsidR="005E200D" w:rsidRPr="005E200D">
        <w:rPr>
          <w:lang w:eastAsia="ja-JP"/>
        </w:rPr>
        <w:t>Clarification on band combination selection over inter-node message</w:t>
      </w:r>
      <w:r w:rsidR="005E200D">
        <w:rPr>
          <w:lang w:eastAsia="ja-JP"/>
        </w:rPr>
        <w:t>, NTT DOCOMO, INC.</w:t>
      </w:r>
    </w:p>
    <w:p w14:paraId="154E0D01" w14:textId="77777777" w:rsidR="005E200D" w:rsidRPr="00EA2761" w:rsidRDefault="00776E36" w:rsidP="00EA2761">
      <w:pPr>
        <w:rPr>
          <w:lang w:eastAsia="ja-JP"/>
        </w:rPr>
      </w:pPr>
      <w:sdt>
        <w:sdtPr>
          <w:rPr>
            <w:rFonts w:hint="eastAsia"/>
            <w:lang w:eastAsia="ja-JP"/>
          </w:rPr>
          <w:id w:val="1941718549"/>
          <w:citation/>
        </w:sdtPr>
        <w:sdtEndPr/>
        <w:sdtContent>
          <w:r w:rsidR="00AE423A">
            <w:rPr>
              <w:lang w:eastAsia="ja-JP"/>
            </w:rPr>
            <w:fldChar w:fldCharType="begin"/>
          </w:r>
          <w:r w:rsidR="00AE423A">
            <w:rPr>
              <w:lang w:eastAsia="ja-JP"/>
            </w:rPr>
            <w:instrText xml:space="preserve"> </w:instrText>
          </w:r>
          <w:r w:rsidR="00AE423A">
            <w:rPr>
              <w:rFonts w:hint="eastAsia"/>
              <w:lang w:eastAsia="ja-JP"/>
            </w:rPr>
            <w:instrText>CITATION 2 \l 1041</w:instrText>
          </w:r>
          <w:r w:rsidR="00AE423A">
            <w:rPr>
              <w:lang w:eastAsia="ja-JP"/>
            </w:rPr>
            <w:instrText xml:space="preserve"> </w:instrText>
          </w:r>
          <w:r w:rsidR="00AE423A">
            <w:rPr>
              <w:lang w:eastAsia="ja-JP"/>
            </w:rPr>
            <w:fldChar w:fldCharType="separate"/>
          </w:r>
          <w:r w:rsidR="000A41C1">
            <w:rPr>
              <w:rFonts w:hint="eastAsia"/>
              <w:noProof/>
              <w:lang w:eastAsia="ja-JP"/>
            </w:rPr>
            <w:t>[2]</w:t>
          </w:r>
          <w:r w:rsidR="00AE423A">
            <w:rPr>
              <w:lang w:eastAsia="ja-JP"/>
            </w:rPr>
            <w:fldChar w:fldCharType="end"/>
          </w:r>
        </w:sdtContent>
      </w:sdt>
      <w:r w:rsidR="00AE423A">
        <w:rPr>
          <w:lang w:eastAsia="ja-JP"/>
        </w:rPr>
        <w:t xml:space="preserve"> </w:t>
      </w:r>
      <w:r w:rsidR="00AE423A" w:rsidRPr="00AE423A">
        <w:rPr>
          <w:lang w:eastAsia="ja-JP"/>
        </w:rPr>
        <w:t>R2-1807383</w:t>
      </w:r>
      <w:r w:rsidR="000929E3">
        <w:rPr>
          <w:lang w:eastAsia="ja-JP"/>
        </w:rPr>
        <w:t xml:space="preserve">, </w:t>
      </w:r>
      <w:r w:rsidR="00AE423A" w:rsidRPr="00AE423A">
        <w:rPr>
          <w:lang w:eastAsia="ja-JP"/>
        </w:rPr>
        <w:t>Further reduction of NR capability size for NSA and SA using NW provided configuration</w:t>
      </w:r>
      <w:r w:rsidR="00AE423A">
        <w:rPr>
          <w:lang w:eastAsia="ja-JP"/>
        </w:rPr>
        <w:t>, Intel.</w:t>
      </w:r>
    </w:p>
    <w:sectPr w:rsidR="005E200D" w:rsidRPr="00EA276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AC6CB" w16cex:dateUtc="2021-07-27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8D2A1" w16cid:durableId="24AA5855"/>
  <w16cid:commentId w16cid:paraId="49CD7A3E" w16cid:durableId="24AAC6CB"/>
  <w16cid:commentId w16cid:paraId="12B50C95" w16cid:durableId="24AA5856"/>
  <w16cid:commentId w16cid:paraId="46B07C68" w16cid:durableId="24AA5857"/>
  <w16cid:commentId w16cid:paraId="7BA1782C" w16cid:durableId="24AA5858"/>
  <w16cid:commentId w16cid:paraId="7C8C1A61" w16cid:durableId="24AA5859"/>
  <w16cid:commentId w16cid:paraId="25DCF8BF" w16cid:durableId="24AA585A"/>
  <w16cid:commentId w16cid:paraId="293F7474" w16cid:durableId="24AA5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FEC15" w14:textId="77777777" w:rsidR="00776E36" w:rsidRDefault="00776E36">
      <w:pPr>
        <w:spacing w:after="0"/>
      </w:pPr>
      <w:r>
        <w:separator/>
      </w:r>
    </w:p>
  </w:endnote>
  <w:endnote w:type="continuationSeparator" w:id="0">
    <w:p w14:paraId="3E300196" w14:textId="77777777" w:rsidR="00776E36" w:rsidRDefault="00776E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5B98" w14:textId="77777777" w:rsidR="00776E36" w:rsidRDefault="00776E36">
      <w:pPr>
        <w:spacing w:after="0"/>
      </w:pPr>
      <w:r>
        <w:separator/>
      </w:r>
    </w:p>
  </w:footnote>
  <w:footnote w:type="continuationSeparator" w:id="0">
    <w:p w14:paraId="07BD5316" w14:textId="77777777" w:rsidR="00776E36" w:rsidRDefault="00776E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BDC7A1A"/>
    <w:multiLevelType w:val="hybridMultilevel"/>
    <w:tmpl w:val="1114A24A"/>
    <w:lvl w:ilvl="0" w:tplc="0F8E34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B563C4E"/>
    <w:multiLevelType w:val="hybridMultilevel"/>
    <w:tmpl w:val="98F44F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8D086B"/>
    <w:multiLevelType w:val="hybridMultilevel"/>
    <w:tmpl w:val="2E664A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446AAD"/>
    <w:multiLevelType w:val="hybridMultilevel"/>
    <w:tmpl w:val="7CC29CF0"/>
    <w:lvl w:ilvl="0" w:tplc="4D8C7324">
      <w:start w:val="1"/>
      <w:numFmt w:val="decimal"/>
      <w:pStyle w:val="Observation"/>
      <w:lvlText w:val="Observation %1:"/>
      <w:lvlJc w:val="left"/>
      <w:pPr>
        <w:ind w:left="420" w:hanging="420"/>
      </w:pPr>
      <w:rPr>
        <w:rFonts w:asciiTheme="minorHAnsi" w:eastAsia="ＭＳ 明朝" w:hAnsiTheme="minorHAnsi" w:hint="default"/>
        <w:b/>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90366D"/>
    <w:multiLevelType w:val="multilevel"/>
    <w:tmpl w:val="311A1462"/>
    <w:numStyleLink w:val="SectionNumbers"/>
  </w:abstractNum>
  <w:abstractNum w:abstractNumId="6" w15:restartNumberingAfterBreak="0">
    <w:nsid w:val="36C721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89A20DD"/>
    <w:multiLevelType w:val="hybridMultilevel"/>
    <w:tmpl w:val="CCC2E016"/>
    <w:lvl w:ilvl="0" w:tplc="5C42D1D2">
      <w:start w:val="1"/>
      <w:numFmt w:val="decimal"/>
      <w:lvlText w:val="Observation %1:"/>
      <w:lvlJc w:val="left"/>
      <w:pPr>
        <w:ind w:left="420" w:hanging="420"/>
      </w:pPr>
      <w:rPr>
        <w:rFonts w:asciiTheme="minorHAnsi" w:eastAsia="ＭＳ 明朝"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95D51DD"/>
    <w:multiLevelType w:val="hybridMultilevel"/>
    <w:tmpl w:val="00CC0604"/>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14911"/>
    <w:multiLevelType w:val="hybridMultilevel"/>
    <w:tmpl w:val="8E528314"/>
    <w:lvl w:ilvl="0" w:tplc="04090001">
      <w:start w:val="1"/>
      <w:numFmt w:val="bullet"/>
      <w:lvlText w:val=""/>
      <w:lvlJc w:val="left"/>
      <w:pPr>
        <w:ind w:left="420" w:hanging="420"/>
      </w:pPr>
      <w:rPr>
        <w:rFonts w:ascii="Wingdings" w:hAnsi="Wingdings" w:hint="default"/>
        <w:b/>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6E0984"/>
    <w:multiLevelType w:val="multilevel"/>
    <w:tmpl w:val="5B08BA68"/>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0E3404"/>
    <w:multiLevelType w:val="multilevel"/>
    <w:tmpl w:val="311A1462"/>
    <w:styleLink w:val="SectionNumbers"/>
    <w:lvl w:ilvl="0">
      <w:start w:val="1"/>
      <w:numFmt w:val="decimal"/>
      <w:lvlText w:val="%1"/>
      <w:lvlJc w:val="left"/>
      <w:pPr>
        <w:ind w:left="425" w:hanging="425"/>
      </w:pPr>
      <w:rPr>
        <w:rFonts w:hint="default"/>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5" w15:restartNumberingAfterBreak="0">
    <w:nsid w:val="65B054DC"/>
    <w:multiLevelType w:val="hybridMultilevel"/>
    <w:tmpl w:val="BE704790"/>
    <w:lvl w:ilvl="0" w:tplc="C2A4C15E">
      <w:start w:val="1"/>
      <w:numFmt w:val="decimal"/>
      <w:pStyle w:val="Proposal"/>
      <w:lvlText w:val="Proposal %1:"/>
      <w:lvlJc w:val="left"/>
      <w:pPr>
        <w:ind w:left="420" w:hanging="420"/>
      </w:pPr>
      <w:rPr>
        <w:rFonts w:asciiTheme="minorHAnsi" w:eastAsia="ＭＳ 明朝"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A560F"/>
    <w:multiLevelType w:val="multilevel"/>
    <w:tmpl w:val="5B08BA68"/>
    <w:lvl w:ilvl="0">
      <w:start w:val="1"/>
      <w:numFmt w:val="decimal"/>
      <w:pStyle w:val="1"/>
      <w:lvlText w:val="%1"/>
      <w:lvlJc w:val="left"/>
      <w:pPr>
        <w:ind w:left="425" w:hanging="425"/>
      </w:pPr>
      <w:rPr>
        <w:rFonts w:hint="default"/>
      </w:rPr>
    </w:lvl>
    <w:lvl w:ilvl="1">
      <w:start w:val="1"/>
      <w:numFmt w:val="decimal"/>
      <w:pStyle w:val="2"/>
      <w:lvlText w:val="%1.%2"/>
      <w:lvlJc w:val="left"/>
      <w:pPr>
        <w:ind w:left="992" w:hanging="567"/>
      </w:pPr>
    </w:lvl>
    <w:lvl w:ilvl="2">
      <w:start w:val="1"/>
      <w:numFmt w:val="decimal"/>
      <w:pStyle w:val="3"/>
      <w:lvlText w:val="%1.%2.%3"/>
      <w:lvlJc w:val="left"/>
      <w:pPr>
        <w:ind w:left="1418" w:hanging="567"/>
      </w:pPr>
    </w:lvl>
    <w:lvl w:ilvl="3">
      <w:start w:val="1"/>
      <w:numFmt w:val="decimal"/>
      <w:pStyle w:val="4"/>
      <w:lvlText w:val="%1.%2.%3.%4"/>
      <w:lvlJc w:val="left"/>
      <w:pPr>
        <w:ind w:left="1984" w:hanging="708"/>
      </w:pPr>
    </w:lvl>
    <w:lvl w:ilvl="4">
      <w:start w:val="1"/>
      <w:numFmt w:val="decimal"/>
      <w:pStyle w:val="5"/>
      <w:lvlText w:val="%1.%2.%3.%4.%5"/>
      <w:lvlJc w:val="left"/>
      <w:pPr>
        <w:ind w:left="2551" w:hanging="850"/>
      </w:pPr>
    </w:lvl>
    <w:lvl w:ilvl="5">
      <w:start w:val="1"/>
      <w:numFmt w:val="decimal"/>
      <w:pStyle w:val="6"/>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1"/>
  </w:num>
  <w:num w:numId="3">
    <w:abstractNumId w:val="10"/>
  </w:num>
  <w:num w:numId="4">
    <w:abstractNumId w:val="0"/>
  </w:num>
  <w:num w:numId="5">
    <w:abstractNumId w:val="17"/>
  </w:num>
  <w:num w:numId="6">
    <w:abstractNumId w:val="3"/>
  </w:num>
  <w:num w:numId="7">
    <w:abstractNumId w:val="12"/>
  </w:num>
  <w:num w:numId="8">
    <w:abstractNumId w:val="14"/>
  </w:num>
  <w:num w:numId="9">
    <w:abstractNumId w:val="5"/>
  </w:num>
  <w:num w:numId="10">
    <w:abstractNumId w:val="6"/>
  </w:num>
  <w:num w:numId="11">
    <w:abstractNumId w:val="8"/>
  </w:num>
  <w:num w:numId="12">
    <w:abstractNumId w:val="16"/>
  </w:num>
  <w:num w:numId="13">
    <w:abstractNumId w:val="4"/>
  </w:num>
  <w:num w:numId="14">
    <w:abstractNumId w:val="7"/>
  </w:num>
  <w:num w:numId="15">
    <w:abstractNumId w:val="1"/>
  </w:num>
  <w:num w:numId="16">
    <w:abstractNumId w:val="15"/>
  </w:num>
  <w:num w:numId="17">
    <w:abstractNumId w:val="9"/>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B04"/>
    <w:rsid w:val="00017F23"/>
    <w:rsid w:val="0007568F"/>
    <w:rsid w:val="000929E3"/>
    <w:rsid w:val="000A41C1"/>
    <w:rsid w:val="000C36A2"/>
    <w:rsid w:val="000D09DB"/>
    <w:rsid w:val="000D3D52"/>
    <w:rsid w:val="000F6242"/>
    <w:rsid w:val="00126564"/>
    <w:rsid w:val="00145F04"/>
    <w:rsid w:val="00181A4A"/>
    <w:rsid w:val="001850BD"/>
    <w:rsid w:val="00190BB8"/>
    <w:rsid w:val="001961A4"/>
    <w:rsid w:val="001D0B30"/>
    <w:rsid w:val="001D774C"/>
    <w:rsid w:val="001E13DE"/>
    <w:rsid w:val="00243124"/>
    <w:rsid w:val="00245149"/>
    <w:rsid w:val="00251D4E"/>
    <w:rsid w:val="00266EB5"/>
    <w:rsid w:val="00284052"/>
    <w:rsid w:val="002862AA"/>
    <w:rsid w:val="002E6E87"/>
    <w:rsid w:val="002F1940"/>
    <w:rsid w:val="003542BF"/>
    <w:rsid w:val="00383545"/>
    <w:rsid w:val="003A516F"/>
    <w:rsid w:val="00401252"/>
    <w:rsid w:val="004016A4"/>
    <w:rsid w:val="004232A6"/>
    <w:rsid w:val="00433500"/>
    <w:rsid w:val="00433F71"/>
    <w:rsid w:val="00437F50"/>
    <w:rsid w:val="00440D43"/>
    <w:rsid w:val="00454A09"/>
    <w:rsid w:val="004E3939"/>
    <w:rsid w:val="00580E8A"/>
    <w:rsid w:val="00591713"/>
    <w:rsid w:val="00594C1F"/>
    <w:rsid w:val="00595D14"/>
    <w:rsid w:val="005A06AB"/>
    <w:rsid w:val="005A4D80"/>
    <w:rsid w:val="005A5C60"/>
    <w:rsid w:val="005E200D"/>
    <w:rsid w:val="00685C40"/>
    <w:rsid w:val="00696599"/>
    <w:rsid w:val="006E7505"/>
    <w:rsid w:val="00701A8A"/>
    <w:rsid w:val="00705FDB"/>
    <w:rsid w:val="0071212E"/>
    <w:rsid w:val="007249C7"/>
    <w:rsid w:val="00732D22"/>
    <w:rsid w:val="007373EA"/>
    <w:rsid w:val="00741E03"/>
    <w:rsid w:val="00776E36"/>
    <w:rsid w:val="007838C1"/>
    <w:rsid w:val="00787EED"/>
    <w:rsid w:val="007C40D1"/>
    <w:rsid w:val="007F4F92"/>
    <w:rsid w:val="008C6962"/>
    <w:rsid w:val="008D772F"/>
    <w:rsid w:val="008E75F7"/>
    <w:rsid w:val="00905051"/>
    <w:rsid w:val="00913F9D"/>
    <w:rsid w:val="00920B89"/>
    <w:rsid w:val="00956B28"/>
    <w:rsid w:val="0099764C"/>
    <w:rsid w:val="009A2F8C"/>
    <w:rsid w:val="009A44CA"/>
    <w:rsid w:val="009B18E5"/>
    <w:rsid w:val="009E543F"/>
    <w:rsid w:val="00A04912"/>
    <w:rsid w:val="00A249E5"/>
    <w:rsid w:val="00A80F7C"/>
    <w:rsid w:val="00A9123D"/>
    <w:rsid w:val="00AA6CEE"/>
    <w:rsid w:val="00AB100F"/>
    <w:rsid w:val="00AB4BF9"/>
    <w:rsid w:val="00AB4EC3"/>
    <w:rsid w:val="00AE423A"/>
    <w:rsid w:val="00B0324F"/>
    <w:rsid w:val="00B32B14"/>
    <w:rsid w:val="00B6002D"/>
    <w:rsid w:val="00B61016"/>
    <w:rsid w:val="00B613FF"/>
    <w:rsid w:val="00B83191"/>
    <w:rsid w:val="00B97703"/>
    <w:rsid w:val="00BD13D4"/>
    <w:rsid w:val="00C540A9"/>
    <w:rsid w:val="00C54480"/>
    <w:rsid w:val="00CA1305"/>
    <w:rsid w:val="00CF6087"/>
    <w:rsid w:val="00D270F2"/>
    <w:rsid w:val="00D91C01"/>
    <w:rsid w:val="00E02CAD"/>
    <w:rsid w:val="00E07895"/>
    <w:rsid w:val="00E563FD"/>
    <w:rsid w:val="00E73C8C"/>
    <w:rsid w:val="00E82B46"/>
    <w:rsid w:val="00EA2761"/>
    <w:rsid w:val="00EA7BA2"/>
    <w:rsid w:val="00EA7D2F"/>
    <w:rsid w:val="00F526F9"/>
    <w:rsid w:val="00F63B3B"/>
    <w:rsid w:val="00FB27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88DFB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23D"/>
    <w:pPr>
      <w:overflowPunct w:val="0"/>
      <w:autoSpaceDE w:val="0"/>
      <w:autoSpaceDN w:val="0"/>
      <w:adjustRightInd w:val="0"/>
      <w:spacing w:after="180"/>
      <w:textAlignment w:val="baseline"/>
    </w:pPr>
    <w:rPr>
      <w:rFonts w:asciiTheme="minorHAnsi" w:hAnsiTheme="minorHAnsi" w:cstheme="minorHAnsi"/>
    </w:rPr>
  </w:style>
  <w:style w:type="paragraph" w:styleId="1">
    <w:name w:val="heading 1"/>
    <w:aliases w:val="H1,h1"/>
    <w:next w:val="a"/>
    <w:qFormat/>
    <w:rsid w:val="00E82B4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heme="majorHAnsi" w:eastAsiaTheme="majorEastAsia" w:hAnsiTheme="majorHAnsi" w:cstheme="majorHAnsi"/>
      <w:sz w:val="36"/>
      <w:lang w:eastAsia="ja-JP"/>
    </w:rPr>
  </w:style>
  <w:style w:type="paragraph" w:styleId="2">
    <w:name w:val="heading 2"/>
    <w:aliases w:val="H2,h2"/>
    <w:basedOn w:val="1"/>
    <w:next w:val="a"/>
    <w:qFormat/>
    <w:rsid w:val="00B32B14"/>
    <w:pPr>
      <w:numPr>
        <w:ilvl w:val="1"/>
      </w:numPr>
      <w:pBdr>
        <w:top w:val="none" w:sz="0" w:space="0" w:color="auto"/>
      </w:pBdr>
      <w:spacing w:before="180"/>
      <w:ind w:left="425" w:hanging="425"/>
      <w:outlineLvl w:val="1"/>
    </w:pPr>
    <w:rPr>
      <w:sz w:val="32"/>
    </w:rPr>
  </w:style>
  <w:style w:type="paragraph" w:styleId="3">
    <w:name w:val="heading 3"/>
    <w:aliases w:val="H3,h3"/>
    <w:basedOn w:val="2"/>
    <w:next w:val="a"/>
    <w:qFormat/>
    <w:rsid w:val="00B32B14"/>
    <w:pPr>
      <w:numPr>
        <w:ilvl w:val="2"/>
      </w:numPr>
      <w:spacing w:before="120"/>
      <w:ind w:left="767" w:right="200" w:hanging="767"/>
      <w:outlineLvl w:val="2"/>
    </w:pPr>
    <w:rPr>
      <w:sz w:val="28"/>
    </w:rPr>
  </w:style>
  <w:style w:type="paragraph" w:styleId="4">
    <w:name w:val="heading 4"/>
    <w:aliases w:val="h4"/>
    <w:basedOn w:val="3"/>
    <w:next w:val="a"/>
    <w:qFormat/>
    <w:rsid w:val="000D3D52"/>
    <w:pPr>
      <w:numPr>
        <w:ilvl w:val="3"/>
      </w:numPr>
      <w:ind w:left="1134" w:hanging="1134"/>
      <w:outlineLvl w:val="3"/>
    </w:pPr>
    <w:rPr>
      <w:sz w:val="24"/>
    </w:rPr>
  </w:style>
  <w:style w:type="paragraph" w:styleId="5">
    <w:name w:val="heading 5"/>
    <w:aliases w:val="h5"/>
    <w:basedOn w:val="4"/>
    <w:next w:val="a"/>
    <w:qFormat/>
    <w:rsid w:val="000D3D52"/>
    <w:pPr>
      <w:numPr>
        <w:ilvl w:val="4"/>
      </w:numPr>
      <w:ind w:left="1276" w:hanging="1276"/>
      <w:outlineLvl w:val="4"/>
    </w:pPr>
    <w:rPr>
      <w:sz w:val="22"/>
    </w:rPr>
  </w:style>
  <w:style w:type="paragraph" w:styleId="6">
    <w:name w:val="heading 6"/>
    <w:aliases w:val="h6"/>
    <w:basedOn w:val="H6"/>
    <w:next w:val="a"/>
    <w:qFormat/>
    <w:rsid w:val="000D3D52"/>
    <w:pPr>
      <w:numPr>
        <w:ilvl w:val="5"/>
      </w:numPr>
      <w:ind w:left="1418" w:hanging="1418"/>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吹き出し (文字)"/>
    <w:basedOn w:val="a0"/>
    <w:link w:val="ad"/>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字列 (文字)"/>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TDocHeader">
    <w:name w:val="TDoc Header"/>
    <w:basedOn w:val="a"/>
    <w:link w:val="TDocHeader0"/>
    <w:qFormat/>
    <w:rsid w:val="00284052"/>
    <w:pPr>
      <w:tabs>
        <w:tab w:val="left" w:pos="709"/>
        <w:tab w:val="right" w:pos="9639"/>
      </w:tabs>
      <w:spacing w:after="0"/>
      <w:ind w:right="120"/>
    </w:pPr>
    <w:rPr>
      <w:rFonts w:asciiTheme="majorHAnsi" w:eastAsiaTheme="majorEastAsia" w:hAnsiTheme="majorHAnsi" w:cstheme="majorHAnsi"/>
      <w:b/>
      <w:sz w:val="24"/>
      <w:lang w:val="de-DE" w:eastAsia="en-US"/>
    </w:rPr>
  </w:style>
  <w:style w:type="paragraph" w:customStyle="1" w:styleId="Metadata">
    <w:name w:val="Metadata"/>
    <w:basedOn w:val="a"/>
    <w:link w:val="Metadata0"/>
    <w:qFormat/>
    <w:rsid w:val="00284052"/>
    <w:pPr>
      <w:spacing w:after="60"/>
      <w:ind w:left="1985" w:hanging="1985"/>
    </w:pPr>
    <w:rPr>
      <w:rFonts w:asciiTheme="majorHAnsi" w:eastAsiaTheme="majorEastAsia" w:hAnsiTheme="majorHAnsi" w:cstheme="majorHAnsi"/>
      <w:b/>
      <w:sz w:val="22"/>
      <w:szCs w:val="22"/>
    </w:rPr>
  </w:style>
  <w:style w:type="character" w:customStyle="1" w:styleId="TDocHeader0">
    <w:name w:val="TDoc Header (文字)"/>
    <w:basedOn w:val="a0"/>
    <w:link w:val="TDocHeader"/>
    <w:rsid w:val="00284052"/>
    <w:rPr>
      <w:rFonts w:asciiTheme="majorHAnsi" w:eastAsiaTheme="majorEastAsia" w:hAnsiTheme="majorHAnsi" w:cstheme="majorHAnsi"/>
      <w:b/>
      <w:sz w:val="24"/>
      <w:lang w:val="de-DE" w:eastAsia="en-US"/>
    </w:rPr>
  </w:style>
  <w:style w:type="paragraph" w:styleId="af5">
    <w:name w:val="List Paragraph"/>
    <w:basedOn w:val="a"/>
    <w:link w:val="af6"/>
    <w:uiPriority w:val="34"/>
    <w:qFormat/>
    <w:rsid w:val="00401252"/>
    <w:pPr>
      <w:ind w:leftChars="400" w:left="840"/>
    </w:pPr>
  </w:style>
  <w:style w:type="character" w:customStyle="1" w:styleId="Metadata0">
    <w:name w:val="Metadata (文字)"/>
    <w:basedOn w:val="a0"/>
    <w:link w:val="Metadata"/>
    <w:rsid w:val="00284052"/>
    <w:rPr>
      <w:rFonts w:asciiTheme="majorHAnsi" w:eastAsiaTheme="majorEastAsia" w:hAnsiTheme="majorHAnsi" w:cstheme="majorHAnsi"/>
      <w:b/>
      <w:sz w:val="22"/>
      <w:szCs w:val="22"/>
    </w:rPr>
  </w:style>
  <w:style w:type="numbering" w:customStyle="1" w:styleId="SectionNumbers">
    <w:name w:val="Section Numbers"/>
    <w:uiPriority w:val="99"/>
    <w:rsid w:val="000D3D52"/>
    <w:pPr>
      <w:numPr>
        <w:numId w:val="8"/>
      </w:numPr>
    </w:pPr>
  </w:style>
  <w:style w:type="paragraph" w:styleId="af7">
    <w:name w:val="Title"/>
    <w:basedOn w:val="a"/>
    <w:next w:val="a"/>
    <w:link w:val="af8"/>
    <w:uiPriority w:val="10"/>
    <w:qFormat/>
    <w:rsid w:val="005E200D"/>
    <w:pPr>
      <w:spacing w:before="240" w:after="120"/>
      <w:jc w:val="center"/>
      <w:outlineLvl w:val="0"/>
    </w:pPr>
    <w:rPr>
      <w:rFonts w:asciiTheme="majorHAnsi" w:eastAsiaTheme="majorEastAsia" w:hAnsiTheme="majorHAnsi" w:cstheme="majorBidi"/>
      <w:sz w:val="32"/>
      <w:szCs w:val="32"/>
    </w:rPr>
  </w:style>
  <w:style w:type="character" w:customStyle="1" w:styleId="af8">
    <w:name w:val="表題 (文字)"/>
    <w:basedOn w:val="a0"/>
    <w:link w:val="af7"/>
    <w:uiPriority w:val="10"/>
    <w:rsid w:val="005E200D"/>
    <w:rPr>
      <w:rFonts w:asciiTheme="majorHAnsi" w:eastAsiaTheme="majorEastAsia" w:hAnsiTheme="majorHAnsi" w:cstheme="majorBidi"/>
      <w:sz w:val="32"/>
      <w:szCs w:val="32"/>
    </w:rPr>
  </w:style>
  <w:style w:type="paragraph" w:customStyle="1" w:styleId="Agreement">
    <w:name w:val="Agreement"/>
    <w:basedOn w:val="a"/>
    <w:next w:val="a"/>
    <w:uiPriority w:val="99"/>
    <w:qFormat/>
    <w:rsid w:val="005E200D"/>
    <w:pPr>
      <w:numPr>
        <w:numId w:val="12"/>
      </w:numPr>
      <w:tabs>
        <w:tab w:val="num" w:pos="1619"/>
      </w:tabs>
      <w:overflowPunct/>
      <w:autoSpaceDE/>
      <w:autoSpaceDN/>
      <w:adjustRightInd/>
      <w:spacing w:before="60" w:after="0"/>
      <w:ind w:left="1619"/>
      <w:textAlignment w:val="auto"/>
    </w:pPr>
    <w:rPr>
      <w:rFonts w:ascii="Arial" w:eastAsia="ＭＳ 明朝" w:hAnsi="Arial" w:cs="Times New Roman"/>
      <w:b/>
      <w:szCs w:val="24"/>
    </w:rPr>
  </w:style>
  <w:style w:type="paragraph" w:customStyle="1" w:styleId="Observation">
    <w:name w:val="Observation"/>
    <w:basedOn w:val="af5"/>
    <w:link w:val="Observation0"/>
    <w:rsid w:val="009B18E5"/>
    <w:pPr>
      <w:numPr>
        <w:numId w:val="13"/>
      </w:numPr>
      <w:ind w:leftChars="0" w:left="0" w:firstLine="0"/>
    </w:pPr>
    <w:rPr>
      <w:b/>
      <w:lang w:eastAsia="ja-JP"/>
    </w:rPr>
  </w:style>
  <w:style w:type="paragraph" w:customStyle="1" w:styleId="Proposal">
    <w:name w:val="Proposal"/>
    <w:basedOn w:val="Observation"/>
    <w:next w:val="a"/>
    <w:link w:val="Proposal0"/>
    <w:rsid w:val="009B18E5"/>
    <w:pPr>
      <w:numPr>
        <w:numId w:val="16"/>
      </w:numPr>
      <w:tabs>
        <w:tab w:val="left" w:pos="1134"/>
      </w:tabs>
      <w:ind w:left="0" w:firstLine="0"/>
    </w:pPr>
  </w:style>
  <w:style w:type="character" w:customStyle="1" w:styleId="af6">
    <w:name w:val="リスト段落 (文字)"/>
    <w:basedOn w:val="a0"/>
    <w:link w:val="af5"/>
    <w:uiPriority w:val="34"/>
    <w:rsid w:val="009B18E5"/>
    <w:rPr>
      <w:rFonts w:asciiTheme="minorHAnsi" w:hAnsiTheme="minorHAnsi" w:cstheme="minorHAnsi"/>
    </w:rPr>
  </w:style>
  <w:style w:type="character" w:customStyle="1" w:styleId="Observation0">
    <w:name w:val="Observation (文字)"/>
    <w:basedOn w:val="af6"/>
    <w:link w:val="Observation"/>
    <w:rsid w:val="009B18E5"/>
    <w:rPr>
      <w:rFonts w:asciiTheme="minorHAnsi" w:hAnsiTheme="minorHAnsi" w:cstheme="minorHAnsi"/>
      <w:b/>
      <w:lang w:eastAsia="ja-JP"/>
    </w:rPr>
  </w:style>
  <w:style w:type="character" w:customStyle="1" w:styleId="Proposal0">
    <w:name w:val="Proposal (文字)"/>
    <w:basedOn w:val="Observation0"/>
    <w:link w:val="Proposal"/>
    <w:rsid w:val="009B18E5"/>
    <w:rPr>
      <w:rFonts w:asciiTheme="minorHAnsi" w:hAnsiTheme="minorHAnsi" w:cstheme="minorHAnsi"/>
      <w:b/>
      <w:lang w:eastAsia="ja-JP"/>
    </w:rPr>
  </w:style>
  <w:style w:type="paragraph" w:styleId="af9">
    <w:name w:val="annotation subject"/>
    <w:basedOn w:val="a6"/>
    <w:next w:val="a6"/>
    <w:link w:val="afa"/>
    <w:uiPriority w:val="99"/>
    <w:semiHidden/>
    <w:unhideWhenUsed/>
    <w:rsid w:val="00AB100F"/>
    <w:pPr>
      <w:tabs>
        <w:tab w:val="clear" w:pos="1418"/>
        <w:tab w:val="clear" w:pos="4678"/>
        <w:tab w:val="clear" w:pos="5954"/>
        <w:tab w:val="clear" w:pos="7088"/>
      </w:tabs>
      <w:spacing w:after="180"/>
      <w:jc w:val="left"/>
    </w:pPr>
    <w:rPr>
      <w:rFonts w:asciiTheme="minorHAnsi" w:hAnsiTheme="minorHAnsi"/>
      <w:b/>
      <w:bCs/>
    </w:rPr>
  </w:style>
  <w:style w:type="character" w:customStyle="1" w:styleId="a7">
    <w:name w:val="コメント文字列 (文字)"/>
    <w:basedOn w:val="a0"/>
    <w:link w:val="a6"/>
    <w:semiHidden/>
    <w:rsid w:val="00AB100F"/>
    <w:rPr>
      <w:rFonts w:ascii="Arial" w:hAnsi="Arial" w:cstheme="minorHAnsi"/>
    </w:rPr>
  </w:style>
  <w:style w:type="character" w:customStyle="1" w:styleId="afa">
    <w:name w:val="コメント内容 (文字)"/>
    <w:basedOn w:val="a7"/>
    <w:link w:val="af9"/>
    <w:uiPriority w:val="99"/>
    <w:semiHidden/>
    <w:rsid w:val="00AB100F"/>
    <w:rPr>
      <w:rFonts w:asciiTheme="minorHAnsi" w:hAnsiTheme="minorHAnsi" w:cs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9469">
      <w:bodyDiv w:val="1"/>
      <w:marLeft w:val="0"/>
      <w:marRight w:val="0"/>
      <w:marTop w:val="0"/>
      <w:marBottom w:val="0"/>
      <w:divBdr>
        <w:top w:val="none" w:sz="0" w:space="0" w:color="auto"/>
        <w:left w:val="none" w:sz="0" w:space="0" w:color="auto"/>
        <w:bottom w:val="none" w:sz="0" w:space="0" w:color="auto"/>
        <w:right w:val="none" w:sz="0" w:space="0" w:color="auto"/>
      </w:divBdr>
    </w:div>
    <w:div w:id="151222178">
      <w:bodyDiv w:val="1"/>
      <w:marLeft w:val="0"/>
      <w:marRight w:val="0"/>
      <w:marTop w:val="0"/>
      <w:marBottom w:val="0"/>
      <w:divBdr>
        <w:top w:val="none" w:sz="0" w:space="0" w:color="auto"/>
        <w:left w:val="none" w:sz="0" w:space="0" w:color="auto"/>
        <w:bottom w:val="none" w:sz="0" w:space="0" w:color="auto"/>
        <w:right w:val="none" w:sz="0" w:space="0" w:color="auto"/>
      </w:divBdr>
    </w:div>
    <w:div w:id="459957104">
      <w:bodyDiv w:val="1"/>
      <w:marLeft w:val="0"/>
      <w:marRight w:val="0"/>
      <w:marTop w:val="0"/>
      <w:marBottom w:val="0"/>
      <w:divBdr>
        <w:top w:val="none" w:sz="0" w:space="0" w:color="auto"/>
        <w:left w:val="none" w:sz="0" w:space="0" w:color="auto"/>
        <w:bottom w:val="none" w:sz="0" w:space="0" w:color="auto"/>
        <w:right w:val="none" w:sz="0" w:space="0" w:color="auto"/>
      </w:divBdr>
    </w:div>
    <w:div w:id="870414369">
      <w:bodyDiv w:val="1"/>
      <w:marLeft w:val="0"/>
      <w:marRight w:val="0"/>
      <w:marTop w:val="0"/>
      <w:marBottom w:val="0"/>
      <w:divBdr>
        <w:top w:val="none" w:sz="0" w:space="0" w:color="auto"/>
        <w:left w:val="none" w:sz="0" w:space="0" w:color="auto"/>
        <w:bottom w:val="none" w:sz="0" w:space="0" w:color="auto"/>
        <w:right w:val="none" w:sz="0" w:space="0" w:color="auto"/>
      </w:divBdr>
    </w:div>
    <w:div w:id="1416123524">
      <w:bodyDiv w:val="1"/>
      <w:marLeft w:val="0"/>
      <w:marRight w:val="0"/>
      <w:marTop w:val="0"/>
      <w:marBottom w:val="0"/>
      <w:divBdr>
        <w:top w:val="none" w:sz="0" w:space="0" w:color="auto"/>
        <w:left w:val="none" w:sz="0" w:space="0" w:color="auto"/>
        <w:bottom w:val="none" w:sz="0" w:space="0" w:color="auto"/>
        <w:right w:val="none" w:sz="0" w:space="0" w:color="auto"/>
      </w:divBdr>
    </w:div>
    <w:div w:id="1426263142">
      <w:bodyDiv w:val="1"/>
      <w:marLeft w:val="0"/>
      <w:marRight w:val="0"/>
      <w:marTop w:val="0"/>
      <w:marBottom w:val="0"/>
      <w:divBdr>
        <w:top w:val="none" w:sz="0" w:space="0" w:color="auto"/>
        <w:left w:val="none" w:sz="0" w:space="0" w:color="auto"/>
        <w:bottom w:val="none" w:sz="0" w:space="0" w:color="auto"/>
        <w:right w:val="none" w:sz="0" w:space="0" w:color="auto"/>
      </w:divBdr>
    </w:div>
    <w:div w:id="1622688765">
      <w:bodyDiv w:val="1"/>
      <w:marLeft w:val="0"/>
      <w:marRight w:val="0"/>
      <w:marTop w:val="0"/>
      <w:marBottom w:val="0"/>
      <w:divBdr>
        <w:top w:val="none" w:sz="0" w:space="0" w:color="auto"/>
        <w:left w:val="none" w:sz="0" w:space="0" w:color="auto"/>
        <w:bottom w:val="none" w:sz="0" w:space="0" w:color="auto"/>
        <w:right w:val="none" w:sz="0" w:space="0" w:color="auto"/>
      </w:divBdr>
    </w:div>
    <w:div w:id="1904945573">
      <w:bodyDiv w:val="1"/>
      <w:marLeft w:val="0"/>
      <w:marRight w:val="0"/>
      <w:marTop w:val="0"/>
      <w:marBottom w:val="0"/>
      <w:divBdr>
        <w:top w:val="none" w:sz="0" w:space="0" w:color="auto"/>
        <w:left w:val="none" w:sz="0" w:space="0" w:color="auto"/>
        <w:bottom w:val="none" w:sz="0" w:space="0" w:color="auto"/>
        <w:right w:val="none" w:sz="0" w:space="0" w:color="auto"/>
      </w:divBdr>
    </w:div>
    <w:div w:id="205935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3">
      <a:majorFont>
        <a:latin typeface="Arial"/>
        <a:ea typeface="游ゴシック Light"/>
        <a:cs typeface=""/>
      </a:majorFont>
      <a:minorFont>
        <a:latin typeface="Times New Roman"/>
        <a:ea typeface="游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2</b:Tag>
    <b:RefOrder>2</b:RefOrder>
  </b:Source>
</b:Sources>
</file>

<file path=customXml/itemProps1.xml><?xml version="1.0" encoding="utf-8"?>
<ds:datastoreItem xmlns:ds="http://schemas.openxmlformats.org/officeDocument/2006/customXml" ds:itemID="{C4EDD683-0467-4DD7-9848-471DA393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4</Pages>
  <Words>1549</Words>
  <Characters>8831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10360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DOCOMO (Masato)</cp:lastModifiedBy>
  <cp:revision>19</cp:revision>
  <cp:lastPrinted>2002-04-23T07:10:00Z</cp:lastPrinted>
  <dcterms:created xsi:type="dcterms:W3CDTF">2021-07-27T04:16:00Z</dcterms:created>
  <dcterms:modified xsi:type="dcterms:W3CDTF">2021-08-06T05:20:00Z</dcterms:modified>
</cp:coreProperties>
</file>